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3A3E1D">
      <w:pPr>
        <w:spacing w:line="600" w:lineRule="exact"/>
        <w:ind w:firstLine="640" w:firstLineChars="200"/>
        <w:jc w:val="right"/>
        <w:rPr>
          <w:rFonts w:eastAsia="仿宋_GB2312"/>
        </w:rPr>
      </w:pPr>
      <w:bookmarkStart w:id="2" w:name="_GoBack"/>
      <w:bookmarkEnd w:id="2"/>
      <w:r>
        <w:rPr>
          <w:rFonts w:hint="eastAsia" w:eastAsia="仿宋_GB2312"/>
        </w:rPr>
        <w:t>川教函〔2026〕379号</w:t>
      </w:r>
      <w:r>
        <w:rPr>
          <w:rFonts w:eastAsia="仿宋_GB2312"/>
        </w:rPr>
        <mc:AlternateContent>
          <mc:Choice Requires="wps">
            <w:drawing>
              <wp:anchor distT="0" distB="0" distL="114300" distR="114300" simplePos="0" relativeHeight="251659264" behindDoc="0" locked="0" layoutInCell="1" allowOverlap="1">
                <wp:simplePos x="0" y="0"/>
                <wp:positionH relativeFrom="margin">
                  <wp:posOffset>-24765</wp:posOffset>
                </wp:positionH>
                <wp:positionV relativeFrom="paragraph">
                  <wp:posOffset>7205980</wp:posOffset>
                </wp:positionV>
                <wp:extent cx="16510" cy="19685"/>
                <wp:effectExtent l="21590" t="18415" r="38100" b="19050"/>
                <wp:wrapNone/>
                <wp:docPr id="2" name="直接连接符 2"/>
                <wp:cNvGraphicFramePr/>
                <a:graphic xmlns:a="http://schemas.openxmlformats.org/drawingml/2006/main">
                  <a:graphicData uri="http://schemas.microsoft.com/office/word/2010/wordprocessingShape">
                    <wps:wsp>
                      <wps:cNvCnPr/>
                      <wps:spPr bwMode="auto">
                        <a:xfrm flipH="1" flipV="1">
                          <a:off x="0" y="0"/>
                          <a:ext cx="16510" cy="19685"/>
                        </a:xfrm>
                        <a:prstGeom prst="line">
                          <a:avLst/>
                        </a:prstGeom>
                        <a:noFill/>
                        <a:ln w="57150" cmpd="thinThick">
                          <a:solidFill>
                            <a:srgbClr val="FF0000"/>
                          </a:solidFill>
                          <a:round/>
                        </a:ln>
                      </wps:spPr>
                      <wps:bodyPr rot="0">
                        <a:noAutofit/>
                      </wps:bodyPr>
                    </wps:wsp>
                  </a:graphicData>
                </a:graphic>
              </wp:anchor>
            </w:drawing>
          </mc:Choice>
          <mc:Fallback>
            <w:pict>
              <v:line id="_x0000_s1026" o:spid="_x0000_s1026" o:spt="20" style="position:absolute;left:0pt;flip:x y;margin-left:-1.95pt;margin-top:567.4pt;height:1.55pt;width:1.3pt;mso-position-horizontal-relative:margin;z-index:251659264;mso-width-relative:page;mso-height-relative:page;" filled="f" stroked="t" coordsize="21600,21600" o:gfxdata="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OeZI/2QAAAAsBAAAPAAAAAAAAAAEAIAAAACIAAABkcnMvZG93bnJldi54bWxQ&#10;SwECFAAUAAAACACHTuJA+fUV+PYBAADCAwAADgAAAAAAAAABACAAAAAoAQAAZHJzL2Uyb0RvYy54&#10;bWxQSwUGAAAAAAYABgBZAQAAkAUAAAAA&#10;">
                <v:fill on="f" focussize="0,0"/>
                <v:stroke weight="4.5pt" color="#FF0000" linestyle="thinThick" joinstyle="round"/>
                <v:imagedata o:title=""/>
                <o:lock v:ext="edit" aspectratio="f"/>
              </v:line>
            </w:pict>
          </mc:Fallback>
        </mc:AlternateContent>
      </w:r>
    </w:p>
    <w:p w14:paraId="753316A9">
      <w:pPr>
        <w:spacing w:line="600" w:lineRule="exact"/>
        <w:ind w:firstLine="640" w:firstLineChars="200"/>
        <w:rPr>
          <w:rFonts w:hint="eastAsia" w:eastAsia="仿宋_GB2312"/>
          <w:szCs w:val="44"/>
        </w:rPr>
      </w:pPr>
    </w:p>
    <w:p w14:paraId="5F5D9247">
      <w:pPr>
        <w:spacing w:line="700" w:lineRule="exact"/>
        <w:jc w:val="center"/>
        <w:rPr>
          <w:rFonts w:ascii="方正小标宋_GBK" w:hAnsi="黑体" w:eastAsia="方正小标宋_GBK" w:cs="方正小标宋简体"/>
          <w:sz w:val="44"/>
          <w:szCs w:val="44"/>
        </w:rPr>
      </w:pPr>
      <w:r>
        <w:rPr>
          <w:rFonts w:hint="eastAsia" w:ascii="方正小标宋_GBK" w:hAnsi="黑体" w:eastAsia="方正小标宋_GBK" w:cs="方正小标宋简体"/>
          <w:sz w:val="44"/>
          <w:szCs w:val="44"/>
        </w:rPr>
        <w:t>四川省教育厅 四川省市场监督管理局</w:t>
      </w:r>
    </w:p>
    <w:p w14:paraId="7FFD40E5">
      <w:pPr>
        <w:spacing w:line="700" w:lineRule="exact"/>
        <w:jc w:val="center"/>
        <w:rPr>
          <w:rFonts w:ascii="方正小标宋_GBK" w:hAnsi="黑体" w:eastAsia="方正小标宋_GBK" w:cs="方正小标宋简体"/>
          <w:sz w:val="44"/>
          <w:szCs w:val="44"/>
        </w:rPr>
      </w:pPr>
      <w:r>
        <w:rPr>
          <w:rFonts w:hint="eastAsia" w:ascii="方正小标宋_GBK" w:hAnsi="黑体" w:eastAsia="方正小标宋_GBK" w:cs="方正小标宋简体"/>
          <w:sz w:val="44"/>
          <w:szCs w:val="44"/>
        </w:rPr>
        <w:t>关于印发《四川省学校食品生产经营者评价</w:t>
      </w:r>
    </w:p>
    <w:p w14:paraId="16EF1FF2">
      <w:pPr>
        <w:spacing w:line="700" w:lineRule="exact"/>
        <w:jc w:val="center"/>
        <w:rPr>
          <w:rFonts w:ascii="方正小标宋_GBK" w:hAnsi="黑体" w:eastAsia="方正小标宋_GBK" w:cs="方正小标宋简体"/>
          <w:sz w:val="44"/>
          <w:szCs w:val="44"/>
        </w:rPr>
      </w:pPr>
      <w:r>
        <w:rPr>
          <w:rFonts w:hint="eastAsia" w:ascii="方正小标宋_GBK" w:hAnsi="黑体" w:eastAsia="方正小标宋_GBK" w:cs="方正小标宋简体"/>
          <w:sz w:val="44"/>
          <w:szCs w:val="44"/>
        </w:rPr>
        <w:t>工作指引》的通知</w:t>
      </w:r>
    </w:p>
    <w:p w14:paraId="2DBC7FEF">
      <w:pPr>
        <w:ind w:firstLine="640" w:firstLineChars="200"/>
        <w:rPr>
          <w:rFonts w:eastAsia="仿宋_GB2312"/>
        </w:rPr>
      </w:pPr>
    </w:p>
    <w:p w14:paraId="608E4E2E">
      <w:pPr>
        <w:spacing w:line="600" w:lineRule="exact"/>
        <w:rPr>
          <w:rFonts w:eastAsia="仿宋_GB2312"/>
        </w:rPr>
      </w:pPr>
      <w:r>
        <w:rPr>
          <w:rFonts w:hint="eastAsia" w:eastAsia="仿宋_GB2312"/>
        </w:rPr>
        <w:t>各市（州）教育主管部门、市场监管局，各高等学校、省属中等职业学校：</w:t>
      </w:r>
    </w:p>
    <w:p w14:paraId="290C8BDE">
      <w:pPr>
        <w:spacing w:line="600" w:lineRule="exact"/>
        <w:ind w:firstLine="640" w:firstLineChars="200"/>
        <w:rPr>
          <w:rFonts w:eastAsia="仿宋_GB2312"/>
        </w:rPr>
      </w:pPr>
      <w:r>
        <w:rPr>
          <w:rFonts w:hint="eastAsia" w:eastAsia="仿宋_GB2312"/>
        </w:rPr>
        <w:t>现将《四川省学校食品生产经营者评价工作指引》印发你们，请结合实际认真贯彻执行。</w:t>
      </w:r>
    </w:p>
    <w:p w14:paraId="3484DA79">
      <w:pPr>
        <w:spacing w:line="600" w:lineRule="exact"/>
        <w:ind w:firstLine="640" w:firstLineChars="200"/>
        <w:rPr>
          <w:rFonts w:eastAsia="仿宋_GB2312"/>
        </w:rPr>
      </w:pPr>
    </w:p>
    <w:p w14:paraId="71D18E2A">
      <w:pPr>
        <w:spacing w:line="600" w:lineRule="exact"/>
        <w:ind w:firstLine="640" w:firstLineChars="200"/>
        <w:rPr>
          <w:rFonts w:eastAsia="仿宋_GB2312"/>
        </w:rPr>
      </w:pPr>
    </w:p>
    <w:p w14:paraId="318DE1E3">
      <w:pPr>
        <w:spacing w:line="600" w:lineRule="exact"/>
        <w:ind w:firstLine="640" w:firstLineChars="200"/>
        <w:rPr>
          <w:rFonts w:eastAsia="仿宋_GB2312"/>
        </w:rPr>
      </w:pPr>
    </w:p>
    <w:p w14:paraId="5CC5A5BA">
      <w:pPr>
        <w:spacing w:line="600" w:lineRule="exact"/>
        <w:ind w:firstLine="640" w:firstLineChars="200"/>
        <w:rPr>
          <w:rFonts w:eastAsia="仿宋_GB2312"/>
        </w:rPr>
      </w:pPr>
      <w:r>
        <w:rPr>
          <w:rFonts w:hint="eastAsia" w:eastAsia="仿宋_GB2312"/>
        </w:rPr>
        <w:t>四川省教育厅               四川省市场监督管理局</w:t>
      </w:r>
    </w:p>
    <w:p w14:paraId="2F23441C">
      <w:pPr>
        <w:spacing w:line="600" w:lineRule="exact"/>
        <w:ind w:right="1088" w:rightChars="340" w:firstLine="640" w:firstLineChars="200"/>
        <w:jc w:val="right"/>
        <w:rPr>
          <w:rFonts w:hint="eastAsia" w:eastAsia="仿宋_GB2312"/>
        </w:rPr>
      </w:pPr>
      <w:r>
        <w:rPr>
          <w:rFonts w:hint="eastAsia" w:eastAsia="仿宋_GB2312"/>
        </w:rPr>
        <w:t>2026年9月7日</w:t>
      </w:r>
    </w:p>
    <w:p w14:paraId="1C3BCD40">
      <w:pPr>
        <w:pStyle w:val="35"/>
        <w:rPr>
          <w:rFonts w:hint="eastAsia"/>
        </w:rPr>
      </w:pPr>
    </w:p>
    <w:p w14:paraId="7C8660BA">
      <w:pPr>
        <w:pStyle w:val="35"/>
        <w:sectPr>
          <w:footerReference r:id="rId3" w:type="default"/>
          <w:footerReference r:id="rId4" w:type="even"/>
          <w:pgSz w:w="11906" w:h="16838"/>
          <w:pgMar w:top="1587" w:right="1474" w:bottom="1304" w:left="1587" w:header="1134" w:footer="1134" w:gutter="0"/>
          <w:cols w:space="1701" w:num="1"/>
          <w:docGrid w:linePitch="435" w:charSpace="0"/>
        </w:sectPr>
      </w:pPr>
    </w:p>
    <w:p w14:paraId="7F285AF6">
      <w:pPr>
        <w:pStyle w:val="231"/>
        <w:spacing w:after="0" w:line="600" w:lineRule="exact"/>
        <w:ind w:left="0" w:leftChars="0" w:firstLine="640"/>
        <w:rPr>
          <w:rFonts w:ascii="Times New Roman" w:hAnsi="Times New Roman" w:eastAsia="仿宋_GB2312"/>
          <w:sz w:val="32"/>
        </w:rPr>
      </w:pPr>
    </w:p>
    <w:p w14:paraId="3B610D2E">
      <w:pPr>
        <w:spacing w:line="700" w:lineRule="exact"/>
        <w:jc w:val="center"/>
        <w:rPr>
          <w:rFonts w:ascii="方正小标宋_GBK" w:hAnsi="黑体" w:eastAsia="方正小标宋_GBK"/>
          <w:bCs/>
          <w:sz w:val="44"/>
          <w:szCs w:val="44"/>
        </w:rPr>
      </w:pPr>
      <w:r>
        <w:rPr>
          <w:rFonts w:ascii="方正小标宋_GBK" w:hAnsi="黑体" w:eastAsia="方正小标宋_GBK"/>
          <w:bCs/>
          <w:sz w:val="44"/>
          <w:szCs w:val="44"/>
        </w:rPr>
        <w:t>四川省学校食品生产经营者评价工作指引</w:t>
      </w:r>
    </w:p>
    <w:p w14:paraId="65E8C41A">
      <w:pPr>
        <w:pStyle w:val="35"/>
        <w:spacing w:after="0" w:line="600" w:lineRule="exact"/>
        <w:ind w:firstLine="640" w:firstLineChars="200"/>
        <w:rPr>
          <w:rFonts w:eastAsia="仿宋_GB2312"/>
          <w:kern w:val="2"/>
          <w:sz w:val="32"/>
        </w:rPr>
      </w:pPr>
    </w:p>
    <w:p w14:paraId="7C0D9515">
      <w:pPr>
        <w:spacing w:line="570" w:lineRule="exact"/>
        <w:jc w:val="center"/>
        <w:rPr>
          <w:rFonts w:hint="eastAsia" w:ascii="黑体" w:hAnsi="黑体" w:eastAsia="黑体"/>
          <w:bCs/>
        </w:rPr>
      </w:pPr>
      <w:r>
        <w:rPr>
          <w:rFonts w:hint="eastAsia" w:ascii="黑体" w:hAnsi="黑体" w:eastAsia="黑体"/>
          <w:bCs/>
        </w:rPr>
        <w:t>第一章  总则</w:t>
      </w:r>
    </w:p>
    <w:p w14:paraId="772FABD6">
      <w:pPr>
        <w:spacing w:line="570" w:lineRule="exact"/>
        <w:ind w:firstLine="640" w:firstLineChars="200"/>
        <w:rPr>
          <w:rFonts w:hint="eastAsia" w:eastAsia="仿宋_GB2312"/>
        </w:rPr>
      </w:pPr>
      <w:r>
        <w:rPr>
          <w:rFonts w:hint="eastAsia" w:eastAsia="仿宋_GB2312"/>
        </w:rPr>
        <w:t>第一条  为压实</w:t>
      </w:r>
      <w:r>
        <w:rPr>
          <w:rFonts w:hint="eastAsia" w:eastAsia="仿宋_GB2312"/>
          <w:szCs w:val="24"/>
        </w:rPr>
        <w:t>学校</w:t>
      </w:r>
      <w:r>
        <w:rPr>
          <w:rFonts w:hint="eastAsia" w:eastAsia="仿宋_GB2312"/>
        </w:rPr>
        <w:t>（含幼儿园，下同）</w:t>
      </w:r>
      <w:r>
        <w:rPr>
          <w:rFonts w:hint="eastAsia" w:eastAsia="仿宋_GB2312"/>
          <w:szCs w:val="24"/>
        </w:rPr>
        <w:t>食品和服务</w:t>
      </w:r>
      <w:r>
        <w:rPr>
          <w:rFonts w:hint="eastAsia" w:eastAsia="仿宋_GB2312"/>
        </w:rPr>
        <w:t>采购主体的食品安全责任，加强学校食品生产经营者管理，保障学校食品安全，根据《中华人民共和国食品安全法》《四川省食品安全条例》《学校食品安全与营养健康管理规定》《四川省中小学校食品安全管理办法》《四川省高等学校学生食堂管理办法》《学校食堂大宗食材采购验收管理工作指引》等规定，制定本指引。</w:t>
      </w:r>
    </w:p>
    <w:p w14:paraId="2E9B8A21">
      <w:pPr>
        <w:spacing w:line="570" w:lineRule="exact"/>
        <w:ind w:firstLine="640" w:firstLineChars="200"/>
        <w:rPr>
          <w:rFonts w:hint="eastAsia" w:eastAsia="仿宋_GB2312"/>
        </w:rPr>
      </w:pPr>
      <w:r>
        <w:rPr>
          <w:rFonts w:hint="eastAsia" w:eastAsia="仿宋_GB2312"/>
        </w:rPr>
        <w:t>第二条  本指引适用于四川省行政区域内组织开展学校食品或服务采购的主体（以下简称“采购人”）对学校食品生产经营者实施的评价工作。</w:t>
      </w:r>
    </w:p>
    <w:p w14:paraId="132FCFCD">
      <w:pPr>
        <w:spacing w:line="570" w:lineRule="exact"/>
        <w:ind w:firstLine="640" w:firstLineChars="200"/>
        <w:rPr>
          <w:rFonts w:hint="eastAsia" w:eastAsia="仿宋_GB2312"/>
        </w:rPr>
      </w:pPr>
      <w:r>
        <w:rPr>
          <w:rFonts w:hint="eastAsia" w:eastAsia="仿宋_GB2312"/>
        </w:rPr>
        <w:t>第三条  本指引所称的学校食品生产经营者是为学校提供食品或服务的食品生产经营者，包括学校食堂原料（含食品添加剂和食品相关产品）供货者、承包（委托）经营者、校外供餐企业等。</w:t>
      </w:r>
    </w:p>
    <w:p w14:paraId="4EC99C64">
      <w:pPr>
        <w:spacing w:line="570" w:lineRule="exact"/>
        <w:ind w:firstLine="640" w:firstLineChars="200"/>
        <w:rPr>
          <w:rFonts w:hint="eastAsia" w:eastAsia="仿宋_GB2312"/>
        </w:rPr>
      </w:pPr>
    </w:p>
    <w:p w14:paraId="6EBA1C00">
      <w:pPr>
        <w:spacing w:line="570" w:lineRule="exact"/>
        <w:jc w:val="center"/>
        <w:rPr>
          <w:rFonts w:hint="eastAsia" w:ascii="黑体" w:hAnsi="黑体" w:eastAsia="黑体"/>
          <w:bCs/>
        </w:rPr>
      </w:pPr>
      <w:r>
        <w:rPr>
          <w:rFonts w:hint="eastAsia" w:ascii="黑体" w:hAnsi="黑体" w:eastAsia="黑体"/>
          <w:bCs/>
        </w:rPr>
        <w:t>第二章  制度与机制</w:t>
      </w:r>
    </w:p>
    <w:p w14:paraId="314B0E78">
      <w:pPr>
        <w:spacing w:line="570" w:lineRule="exact"/>
        <w:ind w:firstLine="640" w:firstLineChars="200"/>
        <w:rPr>
          <w:rFonts w:hint="eastAsia" w:eastAsia="仿宋_GB2312"/>
        </w:rPr>
      </w:pPr>
      <w:r>
        <w:rPr>
          <w:rFonts w:hint="eastAsia" w:eastAsia="仿宋_GB2312"/>
        </w:rPr>
        <w:t>第四条  采购人应建立学校食品生产经营者定期评价及退出机制，对学校食品生产经营者实行动态管理，至少每学期开展一次综合评价，并将评价细则和退出条件写入合同（或协议）。评价资料应存档备查。</w:t>
      </w:r>
    </w:p>
    <w:p w14:paraId="6A6A8BF6">
      <w:pPr>
        <w:spacing w:line="570" w:lineRule="exact"/>
        <w:ind w:firstLine="640" w:firstLineChars="200"/>
        <w:rPr>
          <w:rFonts w:hint="eastAsia" w:eastAsia="仿宋_GB2312"/>
        </w:rPr>
      </w:pPr>
      <w:r>
        <w:rPr>
          <w:rFonts w:hint="eastAsia" w:eastAsia="仿宋_GB2312"/>
        </w:rPr>
        <w:t>第五条  采购人应建立完善学校食品生产经营者退出或更换等情况下能够保障正常供餐的应急管理预案。</w:t>
      </w:r>
    </w:p>
    <w:p w14:paraId="41B91373">
      <w:pPr>
        <w:spacing w:line="570" w:lineRule="exact"/>
        <w:ind w:firstLine="640" w:firstLineChars="200"/>
        <w:rPr>
          <w:rFonts w:hint="eastAsia" w:eastAsia="仿宋_GB2312"/>
        </w:rPr>
      </w:pPr>
      <w:r>
        <w:rPr>
          <w:rFonts w:hint="eastAsia" w:eastAsia="仿宋_GB2312"/>
        </w:rPr>
        <w:t>第六条  采购人应成立学校食品生产经营者评价小组，全面负责学校食品生产经营者评价工作。</w:t>
      </w:r>
    </w:p>
    <w:p w14:paraId="5A67FC8B">
      <w:pPr>
        <w:spacing w:line="570" w:lineRule="exact"/>
        <w:ind w:firstLine="640" w:firstLineChars="200"/>
        <w:rPr>
          <w:rFonts w:hint="eastAsia" w:eastAsia="仿宋_GB2312"/>
        </w:rPr>
      </w:pPr>
    </w:p>
    <w:p w14:paraId="180B20C3">
      <w:pPr>
        <w:spacing w:line="570" w:lineRule="exact"/>
        <w:jc w:val="center"/>
        <w:rPr>
          <w:rFonts w:hint="eastAsia" w:ascii="黑体" w:hAnsi="黑体" w:eastAsia="黑体"/>
          <w:bCs/>
        </w:rPr>
      </w:pPr>
      <w:r>
        <w:rPr>
          <w:rFonts w:hint="eastAsia" w:ascii="黑体" w:hAnsi="黑体" w:eastAsia="黑体"/>
          <w:bCs/>
        </w:rPr>
        <w:t>第三章  评价方式</w:t>
      </w:r>
    </w:p>
    <w:p w14:paraId="00EBA3BB">
      <w:pPr>
        <w:spacing w:line="570" w:lineRule="exact"/>
        <w:ind w:firstLine="640" w:firstLineChars="200"/>
        <w:rPr>
          <w:rFonts w:hint="eastAsia" w:eastAsia="仿宋_GB2312"/>
        </w:rPr>
      </w:pPr>
      <w:r>
        <w:rPr>
          <w:rFonts w:hint="eastAsia" w:eastAsia="仿宋_GB2312"/>
        </w:rPr>
        <w:t>第七条  采购人应采取自行或委托第三方机构的方式开展评价工作。受委托评价的第三方机构应具备相应资质，与被评价的学校食品生产经营者无利益关系。</w:t>
      </w:r>
    </w:p>
    <w:p w14:paraId="31E21503">
      <w:pPr>
        <w:spacing w:line="570" w:lineRule="exact"/>
        <w:ind w:firstLine="640" w:firstLineChars="200"/>
        <w:rPr>
          <w:rFonts w:hint="eastAsia" w:eastAsia="仿宋_GB2312"/>
        </w:rPr>
      </w:pPr>
      <w:r>
        <w:rPr>
          <w:rFonts w:hint="eastAsia" w:eastAsia="仿宋_GB2312"/>
        </w:rPr>
        <w:t>第八条  评价工作应遵循公开、公平、公正、客观的原则。对学校食品生产经营者进行评价时，原则上应邀请校园膳食监督家长委员会成员或学生代表、教职工代表等参与监督。</w:t>
      </w:r>
    </w:p>
    <w:p w14:paraId="3CF9B796">
      <w:pPr>
        <w:spacing w:line="570" w:lineRule="exact"/>
        <w:ind w:firstLine="640" w:firstLineChars="200"/>
        <w:rPr>
          <w:rFonts w:hint="eastAsia" w:eastAsia="仿宋_GB2312"/>
        </w:rPr>
      </w:pPr>
      <w:r>
        <w:rPr>
          <w:rFonts w:hint="eastAsia" w:eastAsia="仿宋_GB2312"/>
        </w:rPr>
        <w:t>第九条  应采取实地考察、</w:t>
      </w:r>
      <w:bookmarkStart w:id="0" w:name="_Hlk172742621"/>
      <w:r>
        <w:rPr>
          <w:rFonts w:hint="eastAsia" w:eastAsia="仿宋_GB2312"/>
        </w:rPr>
        <w:t>日常行为考核</w:t>
      </w:r>
      <w:bookmarkEnd w:id="0"/>
      <w:r>
        <w:rPr>
          <w:rFonts w:hint="eastAsia" w:eastAsia="仿宋_GB2312"/>
        </w:rPr>
        <w:t>等相结合的方式对学校食品生产经营者开展评价。评价要点参照附录，对严重影响学校食品安全的应实行一票否决制。</w:t>
      </w:r>
    </w:p>
    <w:p w14:paraId="1FB73074">
      <w:pPr>
        <w:spacing w:line="570" w:lineRule="exact"/>
        <w:ind w:firstLine="640" w:firstLineChars="200"/>
        <w:rPr>
          <w:rFonts w:hint="eastAsia" w:eastAsia="仿宋_GB2312"/>
        </w:rPr>
      </w:pPr>
      <w:r>
        <w:rPr>
          <w:rFonts w:hint="eastAsia" w:eastAsia="仿宋_GB2312"/>
        </w:rPr>
        <w:t>第十条  应将学校食品生产经营者的日常行为考核融入食品安全“日管控、周排查、月调度”工作机制，并贯穿于日常管理全流程。</w:t>
      </w:r>
    </w:p>
    <w:p w14:paraId="48F6083D">
      <w:pPr>
        <w:spacing w:line="570" w:lineRule="exact"/>
        <w:ind w:firstLine="640" w:firstLineChars="200"/>
        <w:rPr>
          <w:rFonts w:hint="eastAsia" w:eastAsia="仿宋_GB2312"/>
        </w:rPr>
      </w:pPr>
    </w:p>
    <w:p w14:paraId="61344C4F">
      <w:pPr>
        <w:spacing w:line="570" w:lineRule="exact"/>
        <w:jc w:val="center"/>
        <w:rPr>
          <w:rFonts w:hint="eastAsia" w:ascii="黑体" w:hAnsi="黑体" w:eastAsia="黑体"/>
          <w:bCs/>
        </w:rPr>
      </w:pPr>
      <w:r>
        <w:rPr>
          <w:rFonts w:hint="eastAsia" w:ascii="黑体" w:hAnsi="黑体" w:eastAsia="黑体"/>
          <w:bCs/>
        </w:rPr>
        <w:t>第四章  评价结果运用</w:t>
      </w:r>
    </w:p>
    <w:p w14:paraId="715CD7BD">
      <w:pPr>
        <w:spacing w:line="570" w:lineRule="exact"/>
        <w:ind w:firstLine="640" w:firstLineChars="200"/>
        <w:rPr>
          <w:rFonts w:hint="eastAsia" w:eastAsia="仿宋_GB2312"/>
        </w:rPr>
      </w:pPr>
      <w:r>
        <w:rPr>
          <w:rFonts w:hint="eastAsia" w:eastAsia="仿宋_GB2312"/>
          <w:szCs w:val="24"/>
        </w:rPr>
        <w:t xml:space="preserve">第十一条  </w:t>
      </w:r>
      <w:r>
        <w:rPr>
          <w:rFonts w:hint="eastAsia" w:eastAsia="仿宋_GB2312"/>
        </w:rPr>
        <w:t>采购人对日常管理中发现的一般性问题或“满意度”低的，应做好记录，视情况对学校食品生产经营者进行约谈或惩戒，并及时督促整改。</w:t>
      </w:r>
    </w:p>
    <w:p w14:paraId="23E35EAA">
      <w:pPr>
        <w:spacing w:line="570" w:lineRule="exact"/>
        <w:ind w:firstLine="640" w:firstLineChars="200"/>
        <w:rPr>
          <w:rFonts w:hint="eastAsia" w:eastAsia="仿宋_GB2312"/>
        </w:rPr>
      </w:pPr>
      <w:r>
        <w:rPr>
          <w:rFonts w:hint="eastAsia" w:eastAsia="仿宋_GB2312"/>
        </w:rPr>
        <w:t>第十二条  对综合评价不合格的学校食品生产经营者，应及时更换或清退，依法解除合同（或协议），并启动应急管理预案，保障正常供餐。</w:t>
      </w:r>
    </w:p>
    <w:p w14:paraId="4B8FC595">
      <w:pPr>
        <w:spacing w:line="570" w:lineRule="exact"/>
        <w:ind w:firstLine="640" w:firstLineChars="200"/>
        <w:rPr>
          <w:rFonts w:hint="eastAsia" w:eastAsia="仿宋_GB2312"/>
        </w:rPr>
      </w:pPr>
      <w:r>
        <w:rPr>
          <w:rFonts w:hint="eastAsia" w:eastAsia="仿宋_GB2312"/>
        </w:rPr>
        <w:t>第十三条  采购人应将在学校食品或服务采购活动中造成食品安全事故以及综合评价不合格等严重情形的学校食品生产经营者信息及时向教育主管部门报告，由教育主管部门建立学校食品生产经营者不良记录清单。不良记录清单的管理应当坚持依法依规、客观公正、严谨审核和动态评价的原则。</w:t>
      </w:r>
    </w:p>
    <w:p w14:paraId="0A3B46D7">
      <w:pPr>
        <w:spacing w:line="570" w:lineRule="exact"/>
        <w:ind w:firstLine="640" w:firstLineChars="200"/>
        <w:rPr>
          <w:rFonts w:hint="eastAsia" w:eastAsia="仿宋_GB2312"/>
        </w:rPr>
      </w:pPr>
      <w:r>
        <w:rPr>
          <w:rFonts w:hint="eastAsia" w:eastAsia="仿宋_GB2312"/>
        </w:rPr>
        <w:t>第十四条  依法不属于政府采购的项目，采购人应限制列入不良记录清单的食品生产经营者参加采购活动。采购人委托招标代理机构采购项目的，应将不良记录清单通报招标代理机构，供评标委员会参考。学校食品生产经营者在合同履行过程中被列入不良记录清单的，合同继续履行将损害国家利益和社会公共利益的，学校应依法解除合同。依法属于政府采购的项目，应当严格按照政府采购法相关规定执行。</w:t>
      </w:r>
    </w:p>
    <w:p w14:paraId="0ACD84C1">
      <w:pPr>
        <w:spacing w:line="570" w:lineRule="exact"/>
        <w:ind w:firstLine="640" w:firstLineChars="200"/>
        <w:rPr>
          <w:rFonts w:hint="eastAsia" w:eastAsia="仿宋_GB2312"/>
        </w:rPr>
      </w:pPr>
      <w:r>
        <w:rPr>
          <w:rFonts w:hint="eastAsia" w:eastAsia="仿宋_GB2312"/>
        </w:rPr>
        <w:t xml:space="preserve">第十五条  </w:t>
      </w:r>
      <w:r>
        <w:rPr>
          <w:rFonts w:hint="eastAsia" w:eastAsia="仿宋_GB2312"/>
          <w:szCs w:val="24"/>
        </w:rPr>
        <w:t>教育主管部门应</w:t>
      </w:r>
      <w:r>
        <w:rPr>
          <w:rFonts w:hint="eastAsia" w:eastAsia="仿宋_GB2312"/>
        </w:rPr>
        <w:t>及时将辖区内学校食品生产经营者信息，以及不良记录清单</w:t>
      </w:r>
      <w:r>
        <w:rPr>
          <w:rFonts w:hint="eastAsia" w:eastAsia="仿宋_GB2312"/>
          <w:szCs w:val="24"/>
        </w:rPr>
        <w:t>向</w:t>
      </w:r>
      <w:r>
        <w:rPr>
          <w:rFonts w:hint="eastAsia" w:eastAsia="仿宋_GB2312"/>
        </w:rPr>
        <w:t>同级市场监管部门通报。</w:t>
      </w:r>
    </w:p>
    <w:p w14:paraId="7C7E8BA1">
      <w:pPr>
        <w:spacing w:line="570" w:lineRule="exact"/>
        <w:ind w:firstLine="640" w:firstLineChars="200"/>
        <w:rPr>
          <w:rFonts w:hint="eastAsia" w:eastAsia="仿宋_GB2312"/>
        </w:rPr>
      </w:pPr>
      <w:r>
        <w:rPr>
          <w:rFonts w:hint="eastAsia" w:eastAsia="仿宋_GB2312"/>
        </w:rPr>
        <w:t>第十六条  市场监管部门加强对不良记录清单内涉及学校食品安全违法行为的查处，及时将食品安全信用等级变更等情况通报教育主管部门。</w:t>
      </w:r>
    </w:p>
    <w:p w14:paraId="09B21BAB">
      <w:pPr>
        <w:rPr>
          <w:rFonts w:hint="eastAsia" w:eastAsia="黑体"/>
          <w:snapToGrid w:val="0"/>
          <w:color w:val="000000"/>
          <w:kern w:val="0"/>
        </w:rPr>
      </w:pPr>
      <w:r>
        <w:rPr>
          <w:rFonts w:eastAsia="黑体"/>
          <w:snapToGrid w:val="0"/>
          <w:color w:val="000000"/>
          <w:kern w:val="0"/>
        </w:rPr>
        <w:t>附录A</w:t>
      </w:r>
    </w:p>
    <w:p w14:paraId="21ED4D20">
      <w:pPr>
        <w:jc w:val="center"/>
        <w:rPr>
          <w:rFonts w:ascii="方正小标宋_GBK" w:hAnsi="黑体" w:eastAsia="方正小标宋_GBK"/>
          <w:sz w:val="40"/>
          <w:szCs w:val="40"/>
        </w:rPr>
      </w:pPr>
      <w:r>
        <w:rPr>
          <w:rFonts w:ascii="方正小标宋_GBK" w:hAnsi="黑体" w:eastAsia="方正小标宋_GBK"/>
          <w:sz w:val="40"/>
          <w:szCs w:val="40"/>
        </w:rPr>
        <w:t>学校食堂原料供货者评价工作要点</w:t>
      </w:r>
    </w:p>
    <w:p w14:paraId="2C6EA2C0">
      <w:pPr>
        <w:ind w:firstLine="640" w:firstLineChars="200"/>
        <w:rPr>
          <w:rFonts w:eastAsia="仿宋_GB2312"/>
          <w:szCs w:val="20"/>
        </w:rPr>
      </w:pPr>
    </w:p>
    <w:tbl>
      <w:tblPr>
        <w:tblStyle w:val="28"/>
        <w:tblW w:w="9823" w:type="dxa"/>
        <w:jc w:val="center"/>
        <w:tblCaption w:val="Table1wvb"/>
        <w:tblLayout w:type="fixed"/>
        <w:tblCellMar>
          <w:top w:w="0" w:type="dxa"/>
          <w:left w:w="108" w:type="dxa"/>
          <w:bottom w:w="0" w:type="dxa"/>
          <w:right w:w="108" w:type="dxa"/>
        </w:tblCellMar>
      </w:tblPr>
      <w:tblGrid>
        <w:gridCol w:w="631"/>
        <w:gridCol w:w="1355"/>
        <w:gridCol w:w="7837"/>
      </w:tblGrid>
      <w:tr w14:paraId="44AEFC86">
        <w:tblPrEx>
          <w:tblCellMar>
            <w:top w:w="0" w:type="dxa"/>
            <w:left w:w="108" w:type="dxa"/>
            <w:bottom w:w="0" w:type="dxa"/>
            <w:right w:w="108" w:type="dxa"/>
          </w:tblCellMar>
        </w:tblPrEx>
        <w:trPr>
          <w:trHeight w:val="454" w:hRule="atLeast"/>
          <w:jc w:val="center"/>
        </w:trPr>
        <w:tc>
          <w:tcPr>
            <w:tcW w:w="6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35B7E">
            <w:pPr>
              <w:jc w:val="center"/>
              <w:rPr>
                <w:rFonts w:hint="eastAsia" w:eastAsia="黑体"/>
                <w:snapToGrid w:val="0"/>
                <w:color w:val="000000"/>
                <w:kern w:val="0"/>
                <w:sz w:val="20"/>
                <w:szCs w:val="20"/>
              </w:rPr>
            </w:pPr>
            <w:r>
              <w:rPr>
                <w:rFonts w:hint="eastAsia" w:eastAsia="黑体"/>
                <w:snapToGrid w:val="0"/>
                <w:color w:val="000000"/>
                <w:kern w:val="0"/>
                <w:sz w:val="20"/>
                <w:szCs w:val="20"/>
              </w:rPr>
              <w:t>序列</w:t>
            </w:r>
          </w:p>
        </w:tc>
        <w:tc>
          <w:tcPr>
            <w:tcW w:w="1355" w:type="dxa"/>
            <w:tcBorders>
              <w:top w:val="single" w:color="000000" w:sz="4" w:space="0"/>
              <w:left w:val="nil"/>
              <w:bottom w:val="single" w:color="000000" w:sz="4" w:space="0"/>
              <w:right w:val="single" w:color="000000" w:sz="4" w:space="0"/>
            </w:tcBorders>
            <w:shd w:val="clear" w:color="auto" w:fill="auto"/>
            <w:noWrap/>
            <w:vAlign w:val="center"/>
          </w:tcPr>
          <w:p w14:paraId="228E9301">
            <w:pPr>
              <w:jc w:val="center"/>
              <w:rPr>
                <w:rFonts w:hint="eastAsia" w:eastAsia="黑体"/>
                <w:snapToGrid w:val="0"/>
                <w:color w:val="000000"/>
                <w:kern w:val="0"/>
                <w:sz w:val="20"/>
                <w:szCs w:val="20"/>
              </w:rPr>
            </w:pPr>
            <w:r>
              <w:rPr>
                <w:rFonts w:hint="eastAsia" w:eastAsia="黑体"/>
                <w:snapToGrid w:val="0"/>
                <w:color w:val="000000"/>
                <w:kern w:val="0"/>
                <w:sz w:val="20"/>
                <w:szCs w:val="20"/>
              </w:rPr>
              <w:t>评价项目</w:t>
            </w:r>
          </w:p>
        </w:tc>
        <w:tc>
          <w:tcPr>
            <w:tcW w:w="7837" w:type="dxa"/>
            <w:tcBorders>
              <w:top w:val="single" w:color="000000" w:sz="4" w:space="0"/>
              <w:left w:val="nil"/>
              <w:bottom w:val="single" w:color="000000" w:sz="4" w:space="0"/>
              <w:right w:val="single" w:color="000000" w:sz="4" w:space="0"/>
            </w:tcBorders>
            <w:shd w:val="clear" w:color="auto" w:fill="auto"/>
            <w:noWrap/>
            <w:vAlign w:val="center"/>
          </w:tcPr>
          <w:p w14:paraId="37A102E9">
            <w:pPr>
              <w:jc w:val="center"/>
              <w:rPr>
                <w:rFonts w:hint="eastAsia" w:eastAsia="黑体"/>
                <w:snapToGrid w:val="0"/>
                <w:color w:val="000000"/>
                <w:kern w:val="0"/>
                <w:sz w:val="20"/>
                <w:szCs w:val="20"/>
              </w:rPr>
            </w:pPr>
            <w:r>
              <w:rPr>
                <w:rFonts w:hint="eastAsia" w:eastAsia="黑体"/>
                <w:snapToGrid w:val="0"/>
                <w:color w:val="000000"/>
                <w:kern w:val="0"/>
                <w:sz w:val="20"/>
                <w:szCs w:val="20"/>
              </w:rPr>
              <w:t>评价要点</w:t>
            </w:r>
          </w:p>
        </w:tc>
      </w:tr>
      <w:tr w14:paraId="2EEA854F">
        <w:tblPrEx>
          <w:tblCellMar>
            <w:top w:w="0" w:type="dxa"/>
            <w:left w:w="108" w:type="dxa"/>
            <w:bottom w:w="0" w:type="dxa"/>
            <w:right w:w="108" w:type="dxa"/>
          </w:tblCellMar>
        </w:tblPrEx>
        <w:trPr>
          <w:trHeight w:val="454" w:hRule="atLeast"/>
          <w:jc w:val="center"/>
        </w:trPr>
        <w:tc>
          <w:tcPr>
            <w:tcW w:w="9823" w:type="dxa"/>
            <w:gridSpan w:val="3"/>
            <w:tcBorders>
              <w:top w:val="nil"/>
              <w:left w:val="single" w:color="000000" w:sz="4" w:space="0"/>
              <w:bottom w:val="single" w:color="000000" w:sz="4" w:space="0"/>
              <w:right w:val="single" w:color="000000" w:sz="4" w:space="0"/>
            </w:tcBorders>
            <w:shd w:val="clear" w:color="auto" w:fill="auto"/>
            <w:noWrap w:val="0"/>
            <w:vAlign w:val="center"/>
          </w:tcPr>
          <w:p w14:paraId="55969F7E">
            <w:pPr>
              <w:rPr>
                <w:rFonts w:hint="eastAsia" w:eastAsia="仿宋_GB2312"/>
                <w:b/>
                <w:snapToGrid w:val="0"/>
                <w:color w:val="000000"/>
                <w:kern w:val="0"/>
                <w:sz w:val="20"/>
                <w:szCs w:val="20"/>
              </w:rPr>
            </w:pPr>
            <w:r>
              <w:rPr>
                <w:rFonts w:hint="eastAsia" w:eastAsia="仿宋_GB2312"/>
                <w:b/>
                <w:snapToGrid w:val="0"/>
                <w:color w:val="000000"/>
                <w:kern w:val="0"/>
                <w:sz w:val="20"/>
                <w:szCs w:val="20"/>
              </w:rPr>
              <w:t>一、实地考察（20分）</w:t>
            </w:r>
          </w:p>
        </w:tc>
      </w:tr>
      <w:tr w14:paraId="0A255983">
        <w:tblPrEx>
          <w:tblCellMar>
            <w:top w:w="0" w:type="dxa"/>
            <w:left w:w="108" w:type="dxa"/>
            <w:bottom w:w="0" w:type="dxa"/>
            <w:right w:w="108" w:type="dxa"/>
          </w:tblCellMar>
        </w:tblPrEx>
        <w:trPr>
          <w:trHeight w:val="454" w:hRule="atLeast"/>
          <w:jc w:val="center"/>
        </w:trPr>
        <w:tc>
          <w:tcPr>
            <w:tcW w:w="631" w:type="dxa"/>
            <w:tcBorders>
              <w:top w:val="nil"/>
              <w:left w:val="single" w:color="000000" w:sz="4" w:space="0"/>
              <w:bottom w:val="single" w:color="000000" w:sz="4" w:space="0"/>
              <w:right w:val="nil"/>
            </w:tcBorders>
            <w:shd w:val="clear" w:color="auto" w:fill="auto"/>
            <w:noWrap w:val="0"/>
            <w:vAlign w:val="center"/>
          </w:tcPr>
          <w:p w14:paraId="7E6EB4B8">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1</w:t>
            </w:r>
          </w:p>
        </w:tc>
        <w:tc>
          <w:tcPr>
            <w:tcW w:w="1355" w:type="dxa"/>
            <w:tcBorders>
              <w:top w:val="nil"/>
              <w:left w:val="single" w:color="000000" w:sz="4" w:space="0"/>
              <w:bottom w:val="single" w:color="000000" w:sz="4" w:space="0"/>
              <w:right w:val="single" w:color="000000" w:sz="4" w:space="0"/>
            </w:tcBorders>
            <w:shd w:val="clear" w:color="auto" w:fill="auto"/>
            <w:noWrap w:val="0"/>
            <w:vAlign w:val="center"/>
          </w:tcPr>
          <w:p w14:paraId="446EF73B">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供货能力</w:t>
            </w:r>
          </w:p>
        </w:tc>
        <w:tc>
          <w:tcPr>
            <w:tcW w:w="7837" w:type="dxa"/>
            <w:tcBorders>
              <w:top w:val="single" w:color="000000" w:sz="4" w:space="0"/>
              <w:left w:val="nil"/>
              <w:bottom w:val="single" w:color="000000" w:sz="4" w:space="0"/>
              <w:right w:val="single" w:color="000000" w:sz="4" w:space="0"/>
            </w:tcBorders>
            <w:shd w:val="clear" w:color="auto" w:fill="auto"/>
            <w:noWrap/>
            <w:vAlign w:val="center"/>
          </w:tcPr>
          <w:p w14:paraId="149FF0BB">
            <w:pPr>
              <w:rPr>
                <w:rFonts w:hint="eastAsia" w:eastAsia="仿宋_GB2312"/>
                <w:snapToGrid w:val="0"/>
                <w:color w:val="000000"/>
                <w:kern w:val="0"/>
                <w:sz w:val="20"/>
                <w:szCs w:val="20"/>
              </w:rPr>
            </w:pPr>
            <w:bookmarkStart w:id="1" w:name="OLE_LINK6"/>
            <w:r>
              <w:rPr>
                <w:rFonts w:hint="eastAsia" w:eastAsia="仿宋_GB2312"/>
                <w:snapToGrid w:val="0"/>
                <w:color w:val="000000"/>
                <w:kern w:val="0"/>
                <w:sz w:val="20"/>
                <w:szCs w:val="20"/>
              </w:rPr>
              <w:t>该项指标主要考核供货者经营主体供货能力是否满足学校需求，生产加工场地（或经营场地）、生产经营设施设备、运输车辆、人员培训、健康管理等是否符合食品安全标准规范要求和达到主管部门要求等内容。（此项建议由采购人考核）</w:t>
            </w:r>
            <w:bookmarkEnd w:id="1"/>
          </w:p>
        </w:tc>
      </w:tr>
      <w:tr w14:paraId="4C3DBB6B">
        <w:tblPrEx>
          <w:tblCellMar>
            <w:top w:w="0" w:type="dxa"/>
            <w:left w:w="108" w:type="dxa"/>
            <w:bottom w:w="0" w:type="dxa"/>
            <w:right w:w="108" w:type="dxa"/>
          </w:tblCellMar>
        </w:tblPrEx>
        <w:trPr>
          <w:trHeight w:val="454" w:hRule="atLeast"/>
          <w:jc w:val="center"/>
        </w:trPr>
        <w:tc>
          <w:tcPr>
            <w:tcW w:w="9823" w:type="dxa"/>
            <w:gridSpan w:val="3"/>
            <w:tcBorders>
              <w:top w:val="nil"/>
              <w:left w:val="single" w:color="000000" w:sz="4" w:space="0"/>
              <w:bottom w:val="single" w:color="000000" w:sz="4" w:space="0"/>
              <w:right w:val="single" w:color="000000" w:sz="4" w:space="0"/>
            </w:tcBorders>
            <w:shd w:val="clear" w:color="auto" w:fill="auto"/>
            <w:noWrap w:val="0"/>
            <w:vAlign w:val="center"/>
          </w:tcPr>
          <w:p w14:paraId="7651C288">
            <w:pPr>
              <w:rPr>
                <w:rFonts w:hint="eastAsia" w:eastAsia="仿宋_GB2312"/>
                <w:b/>
                <w:snapToGrid w:val="0"/>
                <w:color w:val="000000"/>
                <w:kern w:val="0"/>
                <w:sz w:val="20"/>
                <w:szCs w:val="20"/>
              </w:rPr>
            </w:pPr>
            <w:r>
              <w:rPr>
                <w:rFonts w:hint="eastAsia" w:eastAsia="仿宋_GB2312"/>
                <w:b/>
                <w:snapToGrid w:val="0"/>
                <w:color w:val="000000"/>
                <w:kern w:val="0"/>
                <w:sz w:val="20"/>
                <w:szCs w:val="20"/>
              </w:rPr>
              <w:t>二、日常行为考核（80分）</w:t>
            </w:r>
          </w:p>
        </w:tc>
      </w:tr>
      <w:tr w14:paraId="6602F786">
        <w:tblPrEx>
          <w:tblCellMar>
            <w:top w:w="0" w:type="dxa"/>
            <w:left w:w="108" w:type="dxa"/>
            <w:bottom w:w="0" w:type="dxa"/>
            <w:right w:w="108" w:type="dxa"/>
          </w:tblCellMar>
        </w:tblPrEx>
        <w:trPr>
          <w:trHeight w:val="737" w:hRule="atLeast"/>
          <w:jc w:val="center"/>
        </w:trPr>
        <w:tc>
          <w:tcPr>
            <w:tcW w:w="631" w:type="dxa"/>
            <w:tcBorders>
              <w:top w:val="nil"/>
              <w:left w:val="single" w:color="000000" w:sz="4" w:space="0"/>
              <w:bottom w:val="single" w:color="000000" w:sz="4" w:space="0"/>
              <w:right w:val="nil"/>
            </w:tcBorders>
            <w:shd w:val="clear" w:color="auto" w:fill="auto"/>
            <w:noWrap w:val="0"/>
            <w:vAlign w:val="center"/>
          </w:tcPr>
          <w:p w14:paraId="3ACFD6B4">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2.1</w:t>
            </w:r>
          </w:p>
        </w:tc>
        <w:tc>
          <w:tcPr>
            <w:tcW w:w="1355" w:type="dxa"/>
            <w:tcBorders>
              <w:top w:val="nil"/>
              <w:left w:val="single" w:color="000000" w:sz="4" w:space="0"/>
              <w:bottom w:val="single" w:color="000000" w:sz="4" w:space="0"/>
              <w:right w:val="single" w:color="000000" w:sz="4" w:space="0"/>
            </w:tcBorders>
            <w:shd w:val="clear" w:color="auto" w:fill="auto"/>
            <w:noWrap w:val="0"/>
            <w:vAlign w:val="center"/>
          </w:tcPr>
          <w:p w14:paraId="016B0830">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原料品质</w:t>
            </w:r>
          </w:p>
          <w:p w14:paraId="13722E10">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（30分）</w:t>
            </w:r>
          </w:p>
        </w:tc>
        <w:tc>
          <w:tcPr>
            <w:tcW w:w="7837" w:type="dxa"/>
            <w:tcBorders>
              <w:top w:val="nil"/>
              <w:left w:val="nil"/>
              <w:bottom w:val="single" w:color="000000" w:sz="4" w:space="0"/>
              <w:right w:val="single" w:color="000000" w:sz="4" w:space="0"/>
            </w:tcBorders>
            <w:shd w:val="clear" w:color="auto" w:fill="auto"/>
            <w:noWrap w:val="0"/>
            <w:vAlign w:val="center"/>
          </w:tcPr>
          <w:p w14:paraId="0F511D2D">
            <w:pPr>
              <w:rPr>
                <w:rFonts w:hint="eastAsia" w:eastAsia="仿宋_GB2312"/>
                <w:snapToGrid w:val="0"/>
                <w:color w:val="000000"/>
                <w:kern w:val="0"/>
                <w:sz w:val="20"/>
                <w:szCs w:val="20"/>
              </w:rPr>
            </w:pPr>
            <w:r>
              <w:rPr>
                <w:rFonts w:hint="eastAsia" w:eastAsia="仿宋_GB2312"/>
                <w:snapToGrid w:val="0"/>
                <w:color w:val="000000"/>
                <w:kern w:val="0"/>
                <w:sz w:val="20"/>
                <w:szCs w:val="20"/>
              </w:rPr>
              <w:t>该项指标主要考核供货者是否按照质量、安全要求提供所需原料，原料是否完全符合招投标文件、服务合同、相关文件等规定的质量、规格，是否提供同批次原料随货的相关产品合格证或检测证明和购货凭证，是否存在因储存、装卸、运输造成的污染、损坏，运输原料的温度是否符合相关食品安全要求，供应的原料是否能够追溯源头、追溯信息完整等。（此项建议由学校考核）</w:t>
            </w:r>
          </w:p>
        </w:tc>
      </w:tr>
      <w:tr w14:paraId="1AD2BB45">
        <w:tblPrEx>
          <w:tblCellMar>
            <w:top w:w="0" w:type="dxa"/>
            <w:left w:w="108" w:type="dxa"/>
            <w:bottom w:w="0" w:type="dxa"/>
            <w:right w:w="108" w:type="dxa"/>
          </w:tblCellMar>
        </w:tblPrEx>
        <w:trPr>
          <w:trHeight w:val="737" w:hRule="atLeast"/>
          <w:jc w:val="center"/>
        </w:trPr>
        <w:tc>
          <w:tcPr>
            <w:tcW w:w="631" w:type="dxa"/>
            <w:tcBorders>
              <w:top w:val="nil"/>
              <w:left w:val="single" w:color="000000" w:sz="4" w:space="0"/>
              <w:bottom w:val="single" w:color="000000" w:sz="4" w:space="0"/>
              <w:right w:val="single" w:color="000000" w:sz="4" w:space="0"/>
            </w:tcBorders>
            <w:shd w:val="clear" w:color="auto" w:fill="auto"/>
            <w:noWrap/>
            <w:vAlign w:val="center"/>
          </w:tcPr>
          <w:p w14:paraId="08D6E3DA">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2.2</w:t>
            </w:r>
          </w:p>
        </w:tc>
        <w:tc>
          <w:tcPr>
            <w:tcW w:w="1355" w:type="dxa"/>
            <w:tcBorders>
              <w:top w:val="nil"/>
              <w:left w:val="nil"/>
              <w:bottom w:val="single" w:color="000000" w:sz="4" w:space="0"/>
              <w:right w:val="single" w:color="000000" w:sz="4" w:space="0"/>
            </w:tcBorders>
            <w:shd w:val="clear" w:color="auto" w:fill="auto"/>
            <w:noWrap/>
            <w:vAlign w:val="center"/>
          </w:tcPr>
          <w:p w14:paraId="2FF85F4E">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原料价格</w:t>
            </w:r>
          </w:p>
          <w:p w14:paraId="4C201ED0">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（15分）</w:t>
            </w:r>
          </w:p>
        </w:tc>
        <w:tc>
          <w:tcPr>
            <w:tcW w:w="7837" w:type="dxa"/>
            <w:tcBorders>
              <w:top w:val="nil"/>
              <w:left w:val="nil"/>
              <w:bottom w:val="single" w:color="000000" w:sz="4" w:space="0"/>
              <w:right w:val="single" w:color="000000" w:sz="4" w:space="0"/>
            </w:tcBorders>
            <w:shd w:val="clear" w:color="auto" w:fill="auto"/>
            <w:noWrap w:val="0"/>
            <w:vAlign w:val="center"/>
          </w:tcPr>
          <w:p w14:paraId="44CD2753">
            <w:pPr>
              <w:rPr>
                <w:rFonts w:hint="eastAsia" w:eastAsia="仿宋_GB2312"/>
                <w:snapToGrid w:val="0"/>
                <w:color w:val="000000"/>
                <w:kern w:val="0"/>
                <w:sz w:val="20"/>
                <w:szCs w:val="20"/>
              </w:rPr>
            </w:pPr>
            <w:r>
              <w:rPr>
                <w:rFonts w:hint="eastAsia" w:eastAsia="仿宋_GB2312"/>
                <w:snapToGrid w:val="0"/>
                <w:color w:val="000000"/>
                <w:kern w:val="0"/>
                <w:sz w:val="20"/>
                <w:szCs w:val="20"/>
              </w:rPr>
              <w:t>该指标主要考核供货者是否按照合同下浮比例执行原料价格，是否及时调整、更新价格、质量标准等相关信息。（此项建议由学校考核）</w:t>
            </w:r>
          </w:p>
        </w:tc>
      </w:tr>
      <w:tr w14:paraId="4E2B231F">
        <w:tblPrEx>
          <w:tblCellMar>
            <w:top w:w="0" w:type="dxa"/>
            <w:left w:w="108" w:type="dxa"/>
            <w:bottom w:w="0" w:type="dxa"/>
            <w:right w:w="108" w:type="dxa"/>
          </w:tblCellMar>
        </w:tblPrEx>
        <w:trPr>
          <w:trHeight w:val="737" w:hRule="atLeast"/>
          <w:jc w:val="center"/>
        </w:trPr>
        <w:tc>
          <w:tcPr>
            <w:tcW w:w="631" w:type="dxa"/>
            <w:tcBorders>
              <w:top w:val="nil"/>
              <w:left w:val="single" w:color="000000" w:sz="4" w:space="0"/>
              <w:bottom w:val="single" w:color="auto" w:sz="4" w:space="0"/>
              <w:right w:val="single" w:color="000000" w:sz="4" w:space="0"/>
            </w:tcBorders>
            <w:shd w:val="clear" w:color="auto" w:fill="auto"/>
            <w:noWrap w:val="0"/>
            <w:vAlign w:val="center"/>
          </w:tcPr>
          <w:p w14:paraId="2F96DC26">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2.3</w:t>
            </w:r>
          </w:p>
        </w:tc>
        <w:tc>
          <w:tcPr>
            <w:tcW w:w="1355" w:type="dxa"/>
            <w:tcBorders>
              <w:top w:val="nil"/>
              <w:left w:val="nil"/>
              <w:bottom w:val="single" w:color="auto" w:sz="4" w:space="0"/>
              <w:right w:val="single" w:color="000000" w:sz="4" w:space="0"/>
            </w:tcBorders>
            <w:shd w:val="clear" w:color="auto" w:fill="auto"/>
            <w:noWrap w:val="0"/>
            <w:vAlign w:val="center"/>
          </w:tcPr>
          <w:p w14:paraId="059B1A42">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配送服务</w:t>
            </w:r>
          </w:p>
          <w:p w14:paraId="7C5E4DED">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（20分）</w:t>
            </w:r>
          </w:p>
        </w:tc>
        <w:tc>
          <w:tcPr>
            <w:tcW w:w="7837" w:type="dxa"/>
            <w:tcBorders>
              <w:top w:val="nil"/>
              <w:left w:val="nil"/>
              <w:bottom w:val="single" w:color="auto" w:sz="4" w:space="0"/>
              <w:right w:val="single" w:color="000000" w:sz="4" w:space="0"/>
            </w:tcBorders>
            <w:shd w:val="clear" w:color="auto" w:fill="auto"/>
            <w:noWrap w:val="0"/>
            <w:vAlign w:val="center"/>
          </w:tcPr>
          <w:p w14:paraId="0CD91D15">
            <w:pPr>
              <w:rPr>
                <w:rFonts w:hint="eastAsia" w:eastAsia="仿宋_GB2312"/>
                <w:snapToGrid w:val="0"/>
                <w:color w:val="000000"/>
                <w:kern w:val="0"/>
                <w:sz w:val="20"/>
                <w:szCs w:val="20"/>
              </w:rPr>
            </w:pPr>
            <w:r>
              <w:rPr>
                <w:rFonts w:hint="eastAsia" w:eastAsia="仿宋_GB2312"/>
                <w:snapToGrid w:val="0"/>
                <w:color w:val="000000"/>
                <w:kern w:val="0"/>
                <w:sz w:val="20"/>
                <w:szCs w:val="20"/>
              </w:rPr>
              <w:t>该项指标主要考核供货者是否在约定时间内按照质量、数量要求，使用约定运输车辆，按时、安全配送到指定地点，是否对后续食品加工造成影响。（此项建议由学校考核）</w:t>
            </w:r>
          </w:p>
        </w:tc>
      </w:tr>
      <w:tr w14:paraId="62FD8C5C">
        <w:tblPrEx>
          <w:tblCellMar>
            <w:top w:w="0" w:type="dxa"/>
            <w:left w:w="108" w:type="dxa"/>
            <w:bottom w:w="0" w:type="dxa"/>
            <w:right w:w="108" w:type="dxa"/>
          </w:tblCellMar>
        </w:tblPrEx>
        <w:trPr>
          <w:trHeight w:val="737" w:hRule="atLeast"/>
          <w:jc w:val="center"/>
        </w:trPr>
        <w:tc>
          <w:tcPr>
            <w:tcW w:w="631" w:type="dxa"/>
            <w:tcBorders>
              <w:top w:val="nil"/>
              <w:left w:val="single" w:color="000000" w:sz="4" w:space="0"/>
              <w:bottom w:val="single" w:color="auto" w:sz="4" w:space="0"/>
              <w:right w:val="single" w:color="000000" w:sz="4" w:space="0"/>
            </w:tcBorders>
            <w:shd w:val="clear" w:color="auto" w:fill="auto"/>
            <w:noWrap w:val="0"/>
            <w:vAlign w:val="center"/>
          </w:tcPr>
          <w:p w14:paraId="6B837160">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2.4</w:t>
            </w:r>
          </w:p>
        </w:tc>
        <w:tc>
          <w:tcPr>
            <w:tcW w:w="1355" w:type="dxa"/>
            <w:tcBorders>
              <w:top w:val="nil"/>
              <w:left w:val="nil"/>
              <w:bottom w:val="single" w:color="auto" w:sz="4" w:space="0"/>
              <w:right w:val="single" w:color="000000" w:sz="4" w:space="0"/>
            </w:tcBorders>
            <w:shd w:val="clear" w:color="auto" w:fill="auto"/>
            <w:noWrap w:val="0"/>
            <w:vAlign w:val="center"/>
          </w:tcPr>
          <w:p w14:paraId="338EFCF3">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供货者行为</w:t>
            </w:r>
          </w:p>
          <w:p w14:paraId="50CB4FB7">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（15分）</w:t>
            </w:r>
          </w:p>
        </w:tc>
        <w:tc>
          <w:tcPr>
            <w:tcW w:w="7837" w:type="dxa"/>
            <w:tcBorders>
              <w:top w:val="nil"/>
              <w:left w:val="nil"/>
              <w:bottom w:val="single" w:color="auto" w:sz="4" w:space="0"/>
              <w:right w:val="single" w:color="000000" w:sz="4" w:space="0"/>
            </w:tcBorders>
            <w:shd w:val="clear" w:color="auto" w:fill="auto"/>
            <w:noWrap w:val="0"/>
            <w:vAlign w:val="center"/>
          </w:tcPr>
          <w:p w14:paraId="23407F30">
            <w:pPr>
              <w:rPr>
                <w:rFonts w:hint="eastAsia" w:eastAsia="仿宋_GB2312"/>
                <w:snapToGrid w:val="0"/>
                <w:color w:val="000000"/>
                <w:kern w:val="0"/>
                <w:sz w:val="20"/>
                <w:szCs w:val="20"/>
              </w:rPr>
            </w:pPr>
            <w:r>
              <w:rPr>
                <w:rFonts w:hint="eastAsia" w:eastAsia="仿宋_GB2312"/>
                <w:snapToGrid w:val="0"/>
                <w:color w:val="000000"/>
                <w:kern w:val="0"/>
                <w:sz w:val="20"/>
                <w:szCs w:val="20"/>
              </w:rPr>
              <w:t>该项指标主要考核供货者是否严格执行服务合同中确定的其他内容，是否存在向学校行贿或者提供其他不正当利益的其他违规行为，是否及时妥善处理各类投诉，是否及时对质量不合格原料进行退货换货处理，以及采购人应当进行评价的其他内容。（此项建议由学校考核）</w:t>
            </w:r>
          </w:p>
        </w:tc>
      </w:tr>
      <w:tr w14:paraId="6988A92D">
        <w:tblPrEx>
          <w:tblCellMar>
            <w:top w:w="0" w:type="dxa"/>
            <w:left w:w="108" w:type="dxa"/>
            <w:bottom w:w="0" w:type="dxa"/>
            <w:right w:w="108" w:type="dxa"/>
          </w:tblCellMar>
        </w:tblPrEx>
        <w:trPr>
          <w:trHeight w:val="454" w:hRule="atLeast"/>
          <w:jc w:val="center"/>
        </w:trPr>
        <w:tc>
          <w:tcPr>
            <w:tcW w:w="9823"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9F5B055">
            <w:pPr>
              <w:rPr>
                <w:rFonts w:hint="eastAsia" w:eastAsia="仿宋_GB2312"/>
                <w:b/>
                <w:snapToGrid w:val="0"/>
                <w:color w:val="000000"/>
                <w:kern w:val="0"/>
                <w:sz w:val="20"/>
                <w:szCs w:val="20"/>
              </w:rPr>
            </w:pPr>
            <w:r>
              <w:rPr>
                <w:rFonts w:hint="eastAsia" w:eastAsia="仿宋_GB2312"/>
                <w:b/>
                <w:snapToGrid w:val="0"/>
                <w:color w:val="000000"/>
                <w:kern w:val="0"/>
                <w:sz w:val="20"/>
                <w:szCs w:val="20"/>
              </w:rPr>
              <w:t>三、一票否决项</w:t>
            </w:r>
          </w:p>
        </w:tc>
      </w:tr>
      <w:tr w14:paraId="7F55EA1C">
        <w:tblPrEx>
          <w:tblCellMar>
            <w:top w:w="0" w:type="dxa"/>
            <w:left w:w="108" w:type="dxa"/>
            <w:bottom w:w="0" w:type="dxa"/>
            <w:right w:w="108" w:type="dxa"/>
          </w:tblCellMar>
        </w:tblPrEx>
        <w:trPr>
          <w:trHeight w:val="454" w:hRule="atLeast"/>
          <w:jc w:val="center"/>
        </w:trPr>
        <w:tc>
          <w:tcPr>
            <w:tcW w:w="631" w:type="dxa"/>
            <w:tcBorders>
              <w:top w:val="single" w:color="000000" w:sz="4" w:space="0"/>
              <w:left w:val="single" w:color="000000" w:sz="4" w:space="0"/>
              <w:bottom w:val="single" w:color="000000" w:sz="4" w:space="0"/>
              <w:right w:val="nil"/>
            </w:tcBorders>
            <w:shd w:val="clear" w:color="auto" w:fill="auto"/>
            <w:noWrap w:val="0"/>
            <w:vAlign w:val="center"/>
          </w:tcPr>
          <w:p w14:paraId="1E19D442">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3</w:t>
            </w:r>
          </w:p>
        </w:tc>
        <w:tc>
          <w:tcPr>
            <w:tcW w:w="13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BE673C">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一票否决项</w:t>
            </w:r>
          </w:p>
          <w:p w14:paraId="55BDD52E">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内容</w:t>
            </w:r>
          </w:p>
        </w:tc>
        <w:tc>
          <w:tcPr>
            <w:tcW w:w="7837" w:type="dxa"/>
            <w:tcBorders>
              <w:top w:val="single" w:color="000000" w:sz="4" w:space="0"/>
              <w:left w:val="nil"/>
              <w:bottom w:val="single" w:color="000000" w:sz="4" w:space="0"/>
              <w:right w:val="single" w:color="000000" w:sz="4" w:space="0"/>
            </w:tcBorders>
            <w:shd w:val="clear" w:color="auto" w:fill="auto"/>
            <w:noWrap w:val="0"/>
            <w:vAlign w:val="center"/>
          </w:tcPr>
          <w:p w14:paraId="21476A2D">
            <w:pPr>
              <w:rPr>
                <w:rFonts w:hint="eastAsia" w:eastAsia="仿宋_GB2312"/>
                <w:snapToGrid w:val="0"/>
                <w:color w:val="000000"/>
                <w:kern w:val="0"/>
                <w:sz w:val="20"/>
                <w:szCs w:val="20"/>
              </w:rPr>
            </w:pPr>
            <w:r>
              <w:rPr>
                <w:rFonts w:hint="eastAsia" w:eastAsia="仿宋_GB2312"/>
                <w:snapToGrid w:val="0"/>
                <w:color w:val="000000"/>
                <w:kern w:val="0"/>
                <w:sz w:val="20"/>
                <w:szCs w:val="20"/>
              </w:rPr>
              <w:t>1.通过提供虚假材料、围标串标等非法手段谋取中标、成交的。</w:t>
            </w:r>
          </w:p>
          <w:p w14:paraId="149A7CE3">
            <w:pPr>
              <w:rPr>
                <w:rFonts w:hint="eastAsia" w:eastAsia="仿宋_GB2312"/>
                <w:snapToGrid w:val="0"/>
                <w:color w:val="000000"/>
                <w:kern w:val="0"/>
                <w:sz w:val="20"/>
                <w:szCs w:val="20"/>
              </w:rPr>
            </w:pPr>
            <w:r>
              <w:rPr>
                <w:rFonts w:hint="eastAsia" w:eastAsia="仿宋_GB2312"/>
                <w:snapToGrid w:val="0"/>
                <w:color w:val="000000"/>
                <w:kern w:val="0"/>
                <w:sz w:val="20"/>
                <w:szCs w:val="20"/>
              </w:rPr>
              <w:t>2.未按规定签订或者无正当理由拒绝签订采购合同，或擅自更换履约人，或对项目进行转包、违法分包的。</w:t>
            </w:r>
          </w:p>
          <w:p w14:paraId="5C29AB9B">
            <w:pPr>
              <w:rPr>
                <w:rFonts w:hint="eastAsia" w:eastAsia="仿宋_GB2312"/>
                <w:snapToGrid w:val="0"/>
                <w:color w:val="000000"/>
                <w:kern w:val="0"/>
                <w:sz w:val="20"/>
                <w:szCs w:val="20"/>
              </w:rPr>
            </w:pPr>
            <w:r>
              <w:rPr>
                <w:rFonts w:hint="eastAsia" w:eastAsia="仿宋_GB2312"/>
                <w:snapToGrid w:val="0"/>
                <w:color w:val="000000"/>
                <w:kern w:val="0"/>
                <w:sz w:val="20"/>
                <w:szCs w:val="20"/>
              </w:rPr>
              <w:t>3.不履行或不当履行合同义务，造成学校经济损失，经约谈后拒不整改或无实质性改善的。</w:t>
            </w:r>
          </w:p>
          <w:p w14:paraId="468C8AE9">
            <w:pPr>
              <w:rPr>
                <w:rFonts w:hint="eastAsia" w:eastAsia="仿宋_GB2312"/>
                <w:snapToGrid w:val="0"/>
                <w:color w:val="000000"/>
                <w:kern w:val="0"/>
                <w:sz w:val="20"/>
                <w:szCs w:val="20"/>
              </w:rPr>
            </w:pPr>
            <w:r>
              <w:rPr>
                <w:rFonts w:hint="eastAsia" w:eastAsia="仿宋_GB2312"/>
                <w:snapToGrid w:val="0"/>
                <w:color w:val="000000"/>
                <w:kern w:val="0"/>
                <w:sz w:val="20"/>
                <w:szCs w:val="20"/>
              </w:rPr>
              <w:t>4.提供虚假材料、虚开检验报告和销售凭证，或供应明知假冒伪劣、不合格原料的。</w:t>
            </w:r>
          </w:p>
          <w:p w14:paraId="35FB344D">
            <w:pPr>
              <w:rPr>
                <w:rFonts w:hint="eastAsia" w:eastAsia="仿宋_GB2312"/>
                <w:snapToGrid w:val="0"/>
                <w:color w:val="0000FF"/>
                <w:kern w:val="0"/>
                <w:sz w:val="20"/>
                <w:szCs w:val="20"/>
              </w:rPr>
            </w:pPr>
            <w:r>
              <w:rPr>
                <w:rFonts w:hint="eastAsia" w:eastAsia="仿宋_GB2312"/>
                <w:snapToGrid w:val="0"/>
                <w:color w:val="000000"/>
                <w:kern w:val="0"/>
                <w:sz w:val="20"/>
                <w:szCs w:val="20"/>
              </w:rPr>
              <w:t>5.擅自变更、中止或者终止采购合同的。</w:t>
            </w:r>
          </w:p>
          <w:p w14:paraId="68483528">
            <w:pPr>
              <w:rPr>
                <w:rFonts w:hint="eastAsia" w:eastAsia="仿宋_GB2312"/>
                <w:snapToGrid w:val="0"/>
                <w:color w:val="000000"/>
                <w:kern w:val="0"/>
                <w:sz w:val="20"/>
                <w:szCs w:val="20"/>
              </w:rPr>
            </w:pPr>
            <w:r>
              <w:rPr>
                <w:rFonts w:hint="eastAsia" w:eastAsia="仿宋_GB2312"/>
                <w:snapToGrid w:val="0"/>
                <w:color w:val="000000"/>
                <w:kern w:val="0"/>
                <w:sz w:val="20"/>
                <w:szCs w:val="20"/>
              </w:rPr>
              <w:t>6.因供货者自身原因，未经协商单方面断供，并造成恶劣影响及严重后果的。</w:t>
            </w:r>
          </w:p>
          <w:p w14:paraId="6ADDC615">
            <w:pPr>
              <w:rPr>
                <w:rFonts w:hint="eastAsia" w:eastAsia="仿宋_GB2312"/>
                <w:snapToGrid w:val="0"/>
                <w:color w:val="000000"/>
                <w:kern w:val="0"/>
                <w:sz w:val="20"/>
                <w:szCs w:val="20"/>
              </w:rPr>
            </w:pPr>
            <w:r>
              <w:rPr>
                <w:rFonts w:hint="eastAsia" w:eastAsia="仿宋_GB2312"/>
                <w:snapToGrid w:val="0"/>
                <w:color w:val="000000"/>
                <w:kern w:val="0"/>
                <w:sz w:val="20"/>
                <w:szCs w:val="20"/>
              </w:rPr>
              <w:t>7.拒绝依法依规实施的监督检查或者在监督检查中提供虚假情况的。</w:t>
            </w:r>
          </w:p>
          <w:p w14:paraId="149A9122">
            <w:pPr>
              <w:rPr>
                <w:rFonts w:hint="eastAsia" w:eastAsia="仿宋_GB2312"/>
                <w:snapToGrid w:val="0"/>
                <w:color w:val="000000"/>
                <w:kern w:val="0"/>
                <w:sz w:val="20"/>
                <w:szCs w:val="20"/>
              </w:rPr>
            </w:pPr>
            <w:r>
              <w:rPr>
                <w:rFonts w:hint="eastAsia" w:eastAsia="仿宋_GB2312"/>
                <w:snapToGrid w:val="0"/>
                <w:color w:val="000000"/>
                <w:kern w:val="0"/>
                <w:sz w:val="20"/>
                <w:szCs w:val="20"/>
              </w:rPr>
              <w:t>8.存在财务造假、重大财会违规等问题的。</w:t>
            </w:r>
          </w:p>
          <w:p w14:paraId="280AE605">
            <w:pPr>
              <w:rPr>
                <w:rFonts w:hint="eastAsia" w:eastAsia="仿宋_GB2312"/>
                <w:snapToGrid w:val="0"/>
                <w:color w:val="000000"/>
                <w:kern w:val="0"/>
                <w:sz w:val="20"/>
                <w:szCs w:val="20"/>
              </w:rPr>
            </w:pPr>
            <w:r>
              <w:rPr>
                <w:rFonts w:hint="eastAsia" w:eastAsia="仿宋_GB2312"/>
                <w:snapToGrid w:val="0"/>
                <w:color w:val="000000"/>
                <w:kern w:val="0"/>
                <w:sz w:val="20"/>
                <w:szCs w:val="20"/>
              </w:rPr>
              <w:t>9.被列入严重违法失信名单或食品安全信用等级评定为严重失信的。</w:t>
            </w:r>
          </w:p>
          <w:p w14:paraId="15DFDB4D">
            <w:pPr>
              <w:rPr>
                <w:rFonts w:hint="eastAsia" w:eastAsia="仿宋_GB2312"/>
                <w:snapToGrid w:val="0"/>
                <w:color w:val="000000"/>
                <w:kern w:val="0"/>
                <w:sz w:val="20"/>
                <w:szCs w:val="20"/>
              </w:rPr>
            </w:pPr>
            <w:r>
              <w:rPr>
                <w:rFonts w:hint="eastAsia" w:eastAsia="仿宋_GB2312"/>
                <w:snapToGrid w:val="0"/>
                <w:color w:val="000000"/>
                <w:kern w:val="0"/>
                <w:sz w:val="20"/>
                <w:szCs w:val="20"/>
              </w:rPr>
              <w:t>10.违反食品安全法律法规，被市场监管部门吊销食品生产经营许可证的，或违反相关法律法规，被登记机关吊销营业执照的。</w:t>
            </w:r>
          </w:p>
          <w:p w14:paraId="782983B0">
            <w:pPr>
              <w:rPr>
                <w:rFonts w:hint="eastAsia" w:eastAsia="仿宋_GB2312"/>
                <w:snapToGrid w:val="0"/>
                <w:color w:val="000000"/>
                <w:kern w:val="0"/>
                <w:sz w:val="20"/>
                <w:szCs w:val="20"/>
              </w:rPr>
            </w:pPr>
            <w:r>
              <w:rPr>
                <w:rFonts w:hint="eastAsia" w:eastAsia="仿宋_GB2312"/>
                <w:snapToGrid w:val="0"/>
                <w:color w:val="000000"/>
                <w:kern w:val="0"/>
                <w:sz w:val="20"/>
                <w:szCs w:val="20"/>
              </w:rPr>
              <w:t>11.供货期内因所供应原料直接引发食品安全责任事故或查实敏感及以上食品安全负面舆情事件。</w:t>
            </w:r>
          </w:p>
          <w:p w14:paraId="2DFC36E6">
            <w:pPr>
              <w:rPr>
                <w:rFonts w:hint="eastAsia" w:eastAsia="仿宋_GB2312"/>
                <w:snapToGrid w:val="0"/>
                <w:color w:val="000000"/>
                <w:kern w:val="0"/>
                <w:sz w:val="20"/>
                <w:szCs w:val="20"/>
              </w:rPr>
            </w:pPr>
            <w:r>
              <w:rPr>
                <w:rFonts w:hint="eastAsia" w:eastAsia="仿宋_GB2312"/>
                <w:snapToGrid w:val="0"/>
                <w:color w:val="000000"/>
                <w:kern w:val="0"/>
                <w:sz w:val="20"/>
                <w:szCs w:val="20"/>
              </w:rPr>
              <w:t>（此项建议由采购人组织考核，可结合实际完善指标）</w:t>
            </w:r>
          </w:p>
        </w:tc>
      </w:tr>
    </w:tbl>
    <w:p w14:paraId="05E9E9E0">
      <w:pPr>
        <w:rPr>
          <w:rFonts w:hint="eastAsia" w:eastAsia="仿宋_GB2312"/>
          <w:snapToGrid w:val="0"/>
          <w:color w:val="000000"/>
          <w:kern w:val="0"/>
          <w:sz w:val="20"/>
          <w:szCs w:val="20"/>
        </w:rPr>
      </w:pPr>
      <w:r>
        <w:rPr>
          <w:rFonts w:hint="eastAsia" w:eastAsia="仿宋_GB2312"/>
          <w:snapToGrid w:val="0"/>
          <w:color w:val="000000"/>
          <w:kern w:val="0"/>
          <w:sz w:val="20"/>
          <w:szCs w:val="20"/>
        </w:rPr>
        <w:t>注：评价工作要点供参考，采购人根据实际情况调整，完善细化。鼓励采用百分制计分，建议日常行为评</w:t>
      </w:r>
      <w:r>
        <w:rPr>
          <w:rFonts w:hint="eastAsia" w:eastAsia="仿宋_GB2312"/>
          <w:snapToGrid w:val="0"/>
          <w:color w:val="000000"/>
          <w:spacing w:val="-6"/>
          <w:kern w:val="0"/>
          <w:sz w:val="20"/>
          <w:szCs w:val="20"/>
        </w:rPr>
        <w:t>价分值不低于80分，评价总分值低于70分为不合格。涉及“一票否决项内容”直接评价为不合格。</w:t>
      </w:r>
    </w:p>
    <w:p w14:paraId="7AD0A68E">
      <w:pPr>
        <w:rPr>
          <w:rFonts w:hint="eastAsia" w:eastAsia="黑体"/>
          <w:snapToGrid w:val="0"/>
          <w:color w:val="000000"/>
          <w:kern w:val="0"/>
        </w:rPr>
      </w:pPr>
      <w:r>
        <w:rPr>
          <w:rFonts w:hint="eastAsia" w:eastAsia="黑体"/>
          <w:snapToGrid w:val="0"/>
          <w:color w:val="000000"/>
          <w:kern w:val="0"/>
        </w:rPr>
        <w:t>附录B</w:t>
      </w:r>
    </w:p>
    <w:p w14:paraId="0AE2D098">
      <w:pPr>
        <w:jc w:val="center"/>
        <w:rPr>
          <w:rFonts w:hint="eastAsia" w:eastAsia="方正小标宋_GBK"/>
          <w:sz w:val="40"/>
          <w:szCs w:val="40"/>
        </w:rPr>
      </w:pPr>
      <w:r>
        <w:rPr>
          <w:rFonts w:hint="eastAsia" w:eastAsia="方正小标宋_GBK"/>
          <w:sz w:val="40"/>
          <w:szCs w:val="40"/>
        </w:rPr>
        <w:t>承包（委托）经营者评价工作要点</w:t>
      </w:r>
    </w:p>
    <w:p w14:paraId="6835298D">
      <w:pPr>
        <w:ind w:firstLine="640" w:firstLineChars="200"/>
        <w:rPr>
          <w:rFonts w:hint="eastAsia" w:eastAsia="仿宋_GB2312"/>
          <w:szCs w:val="24"/>
        </w:rPr>
      </w:pPr>
    </w:p>
    <w:tbl>
      <w:tblPr>
        <w:tblStyle w:val="28"/>
        <w:tblW w:w="10421" w:type="dxa"/>
        <w:jc w:val="center"/>
        <w:tblCaption w:val="Table6g0q"/>
        <w:tblLayout w:type="fixed"/>
        <w:tblCellMar>
          <w:top w:w="0" w:type="dxa"/>
          <w:left w:w="108" w:type="dxa"/>
          <w:bottom w:w="0" w:type="dxa"/>
          <w:right w:w="108" w:type="dxa"/>
        </w:tblCellMar>
      </w:tblPr>
      <w:tblGrid>
        <w:gridCol w:w="711"/>
        <w:gridCol w:w="1230"/>
        <w:gridCol w:w="8480"/>
      </w:tblGrid>
      <w:tr w14:paraId="0229960C">
        <w:tblPrEx>
          <w:tblCellMar>
            <w:top w:w="0" w:type="dxa"/>
            <w:left w:w="108" w:type="dxa"/>
            <w:bottom w:w="0" w:type="dxa"/>
            <w:right w:w="108" w:type="dxa"/>
          </w:tblCellMar>
        </w:tblPrEx>
        <w:trPr>
          <w:trHeight w:val="397" w:hRule="atLeast"/>
          <w:jc w:val="center"/>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D65D8">
            <w:pPr>
              <w:jc w:val="center"/>
              <w:rPr>
                <w:rFonts w:hint="eastAsia" w:ascii="黑体" w:hAnsi="黑体" w:eastAsia="黑体" w:cs="黑体"/>
                <w:snapToGrid w:val="0"/>
                <w:color w:val="000000"/>
                <w:kern w:val="0"/>
                <w:sz w:val="20"/>
                <w:szCs w:val="20"/>
              </w:rPr>
            </w:pPr>
            <w:r>
              <w:rPr>
                <w:rFonts w:hint="eastAsia" w:ascii="黑体" w:hAnsi="黑体" w:eastAsia="黑体" w:cs="黑体"/>
                <w:snapToGrid w:val="0"/>
                <w:color w:val="000000"/>
                <w:kern w:val="0"/>
                <w:sz w:val="20"/>
                <w:szCs w:val="20"/>
              </w:rPr>
              <w:t>序列</w:t>
            </w:r>
          </w:p>
        </w:tc>
        <w:tc>
          <w:tcPr>
            <w:tcW w:w="1230" w:type="dxa"/>
            <w:tcBorders>
              <w:top w:val="single" w:color="000000" w:sz="4" w:space="0"/>
              <w:left w:val="nil"/>
              <w:bottom w:val="single" w:color="000000" w:sz="4" w:space="0"/>
              <w:right w:val="single" w:color="000000" w:sz="4" w:space="0"/>
            </w:tcBorders>
            <w:shd w:val="clear" w:color="auto" w:fill="auto"/>
            <w:noWrap/>
            <w:vAlign w:val="center"/>
          </w:tcPr>
          <w:p w14:paraId="63CBC4A1">
            <w:pPr>
              <w:jc w:val="center"/>
              <w:rPr>
                <w:rFonts w:hint="eastAsia" w:ascii="黑体" w:hAnsi="黑体" w:eastAsia="黑体" w:cs="黑体"/>
                <w:snapToGrid w:val="0"/>
                <w:color w:val="000000"/>
                <w:kern w:val="0"/>
                <w:sz w:val="20"/>
                <w:szCs w:val="20"/>
              </w:rPr>
            </w:pPr>
            <w:r>
              <w:rPr>
                <w:rFonts w:hint="eastAsia" w:ascii="黑体" w:hAnsi="黑体" w:eastAsia="黑体" w:cs="黑体"/>
                <w:snapToGrid w:val="0"/>
                <w:color w:val="000000"/>
                <w:kern w:val="0"/>
                <w:sz w:val="20"/>
                <w:szCs w:val="20"/>
              </w:rPr>
              <w:t>评价项目</w:t>
            </w:r>
          </w:p>
        </w:tc>
        <w:tc>
          <w:tcPr>
            <w:tcW w:w="8480" w:type="dxa"/>
            <w:tcBorders>
              <w:top w:val="single" w:color="000000" w:sz="4" w:space="0"/>
              <w:left w:val="nil"/>
              <w:bottom w:val="single" w:color="000000" w:sz="4" w:space="0"/>
              <w:right w:val="single" w:color="000000" w:sz="4" w:space="0"/>
            </w:tcBorders>
            <w:shd w:val="clear" w:color="auto" w:fill="auto"/>
            <w:noWrap/>
            <w:vAlign w:val="center"/>
          </w:tcPr>
          <w:p w14:paraId="2B8A88EB">
            <w:pPr>
              <w:jc w:val="center"/>
              <w:rPr>
                <w:rFonts w:hint="eastAsia" w:ascii="黑体" w:hAnsi="黑体" w:eastAsia="黑体" w:cs="黑体"/>
                <w:snapToGrid w:val="0"/>
                <w:color w:val="000000"/>
                <w:kern w:val="0"/>
                <w:sz w:val="20"/>
                <w:szCs w:val="20"/>
              </w:rPr>
            </w:pPr>
            <w:r>
              <w:rPr>
                <w:rFonts w:hint="eastAsia" w:ascii="黑体" w:hAnsi="黑体" w:eastAsia="黑体" w:cs="黑体"/>
                <w:snapToGrid w:val="0"/>
                <w:color w:val="000000"/>
                <w:kern w:val="0"/>
                <w:sz w:val="20"/>
                <w:szCs w:val="20"/>
              </w:rPr>
              <w:t>评价要点</w:t>
            </w:r>
          </w:p>
        </w:tc>
      </w:tr>
      <w:tr w14:paraId="64CE6595">
        <w:tblPrEx>
          <w:tblCellMar>
            <w:top w:w="0" w:type="dxa"/>
            <w:left w:w="108" w:type="dxa"/>
            <w:bottom w:w="0" w:type="dxa"/>
            <w:right w:w="108" w:type="dxa"/>
          </w:tblCellMar>
        </w:tblPrEx>
        <w:trPr>
          <w:trHeight w:val="397" w:hRule="atLeast"/>
          <w:jc w:val="center"/>
        </w:trPr>
        <w:tc>
          <w:tcPr>
            <w:tcW w:w="10421" w:type="dxa"/>
            <w:gridSpan w:val="3"/>
            <w:tcBorders>
              <w:top w:val="nil"/>
              <w:left w:val="single" w:color="000000" w:sz="4" w:space="0"/>
              <w:bottom w:val="single" w:color="000000" w:sz="4" w:space="0"/>
              <w:right w:val="single" w:color="000000" w:sz="4" w:space="0"/>
            </w:tcBorders>
            <w:shd w:val="clear" w:color="auto" w:fill="auto"/>
            <w:noWrap w:val="0"/>
            <w:vAlign w:val="center"/>
          </w:tcPr>
          <w:p w14:paraId="15369696">
            <w:pPr>
              <w:rPr>
                <w:rFonts w:hint="eastAsia" w:eastAsia="仿宋_GB2312"/>
                <w:b/>
                <w:snapToGrid w:val="0"/>
                <w:color w:val="000000"/>
                <w:kern w:val="0"/>
                <w:sz w:val="20"/>
                <w:szCs w:val="20"/>
              </w:rPr>
            </w:pPr>
            <w:r>
              <w:rPr>
                <w:rFonts w:hint="eastAsia" w:eastAsia="仿宋_GB2312"/>
                <w:b/>
                <w:snapToGrid w:val="0"/>
                <w:color w:val="000000"/>
                <w:kern w:val="0"/>
                <w:sz w:val="20"/>
                <w:szCs w:val="20"/>
              </w:rPr>
              <w:t>一、满意度评价（20分）</w:t>
            </w:r>
          </w:p>
        </w:tc>
      </w:tr>
      <w:tr w14:paraId="2BB903CC">
        <w:tblPrEx>
          <w:tblCellMar>
            <w:top w:w="0" w:type="dxa"/>
            <w:left w:w="108" w:type="dxa"/>
            <w:bottom w:w="0" w:type="dxa"/>
            <w:right w:w="108" w:type="dxa"/>
          </w:tblCellMar>
        </w:tblPrEx>
        <w:trPr>
          <w:trHeight w:val="397" w:hRule="atLeast"/>
          <w:jc w:val="center"/>
        </w:trPr>
        <w:tc>
          <w:tcPr>
            <w:tcW w:w="711" w:type="dxa"/>
            <w:tcBorders>
              <w:top w:val="nil"/>
              <w:left w:val="single" w:color="000000" w:sz="4" w:space="0"/>
              <w:bottom w:val="single" w:color="000000" w:sz="4" w:space="0"/>
              <w:right w:val="nil"/>
            </w:tcBorders>
            <w:shd w:val="clear" w:color="auto" w:fill="auto"/>
            <w:noWrap w:val="0"/>
            <w:vAlign w:val="center"/>
          </w:tcPr>
          <w:p w14:paraId="719F6FB9">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1</w:t>
            </w:r>
          </w:p>
        </w:tc>
        <w:tc>
          <w:tcPr>
            <w:tcW w:w="1230" w:type="dxa"/>
            <w:tcBorders>
              <w:top w:val="nil"/>
              <w:left w:val="single" w:color="000000" w:sz="4" w:space="0"/>
              <w:bottom w:val="single" w:color="000000" w:sz="4" w:space="0"/>
              <w:right w:val="single" w:color="000000" w:sz="4" w:space="0"/>
            </w:tcBorders>
            <w:shd w:val="clear" w:color="auto" w:fill="auto"/>
            <w:noWrap w:val="0"/>
            <w:vAlign w:val="center"/>
          </w:tcPr>
          <w:p w14:paraId="3C46B9F8">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师生总体满意度</w:t>
            </w:r>
          </w:p>
        </w:tc>
        <w:tc>
          <w:tcPr>
            <w:tcW w:w="8480" w:type="dxa"/>
            <w:tcBorders>
              <w:top w:val="single" w:color="000000" w:sz="4" w:space="0"/>
              <w:left w:val="nil"/>
              <w:bottom w:val="single" w:color="000000" w:sz="4" w:space="0"/>
              <w:right w:val="single" w:color="000000" w:sz="4" w:space="0"/>
            </w:tcBorders>
            <w:shd w:val="clear" w:color="auto" w:fill="auto"/>
            <w:noWrap/>
            <w:vAlign w:val="center"/>
          </w:tcPr>
          <w:p w14:paraId="341E7BC8">
            <w:pPr>
              <w:tabs>
                <w:tab w:val="left" w:pos="312"/>
              </w:tabs>
              <w:rPr>
                <w:rFonts w:hint="eastAsia" w:eastAsia="仿宋_GB2312"/>
                <w:snapToGrid w:val="0"/>
                <w:color w:val="000000"/>
                <w:kern w:val="0"/>
                <w:sz w:val="20"/>
                <w:szCs w:val="20"/>
              </w:rPr>
            </w:pPr>
            <w:r>
              <w:rPr>
                <w:rFonts w:hint="eastAsia" w:eastAsia="仿宋_GB2312"/>
                <w:snapToGrid w:val="0"/>
                <w:color w:val="000000"/>
                <w:kern w:val="0"/>
                <w:sz w:val="20"/>
                <w:szCs w:val="20"/>
              </w:rPr>
              <w:t>该项指标主要调查就餐师生对经营者提供餐食、服务的满意度情况。（此项建议由采购人组织考核）</w:t>
            </w:r>
          </w:p>
        </w:tc>
      </w:tr>
      <w:tr w14:paraId="11DF3C07">
        <w:tblPrEx>
          <w:tblCellMar>
            <w:top w:w="0" w:type="dxa"/>
            <w:left w:w="108" w:type="dxa"/>
            <w:bottom w:w="0" w:type="dxa"/>
            <w:right w:w="108" w:type="dxa"/>
          </w:tblCellMar>
        </w:tblPrEx>
        <w:trPr>
          <w:trHeight w:val="397" w:hRule="atLeast"/>
          <w:jc w:val="center"/>
        </w:trPr>
        <w:tc>
          <w:tcPr>
            <w:tcW w:w="10421" w:type="dxa"/>
            <w:gridSpan w:val="3"/>
            <w:tcBorders>
              <w:top w:val="nil"/>
              <w:left w:val="single" w:color="000000" w:sz="4" w:space="0"/>
              <w:bottom w:val="single" w:color="000000" w:sz="4" w:space="0"/>
              <w:right w:val="single" w:color="000000" w:sz="4" w:space="0"/>
            </w:tcBorders>
            <w:shd w:val="clear" w:color="auto" w:fill="auto"/>
            <w:noWrap w:val="0"/>
            <w:vAlign w:val="center"/>
          </w:tcPr>
          <w:p w14:paraId="220BB5BE">
            <w:pPr>
              <w:rPr>
                <w:rFonts w:hint="eastAsia" w:eastAsia="仿宋_GB2312"/>
                <w:b/>
                <w:snapToGrid w:val="0"/>
                <w:color w:val="000000"/>
                <w:kern w:val="0"/>
                <w:sz w:val="20"/>
                <w:szCs w:val="20"/>
              </w:rPr>
            </w:pPr>
            <w:r>
              <w:rPr>
                <w:rFonts w:hint="eastAsia" w:eastAsia="仿宋_GB2312"/>
                <w:b/>
                <w:snapToGrid w:val="0"/>
                <w:color w:val="000000"/>
                <w:kern w:val="0"/>
                <w:sz w:val="20"/>
                <w:szCs w:val="20"/>
              </w:rPr>
              <w:t>二、日常行为考核（80分）</w:t>
            </w:r>
          </w:p>
        </w:tc>
      </w:tr>
      <w:tr w14:paraId="1E991F95">
        <w:tblPrEx>
          <w:tblCellMar>
            <w:top w:w="0" w:type="dxa"/>
            <w:left w:w="108" w:type="dxa"/>
            <w:bottom w:w="0" w:type="dxa"/>
            <w:right w:w="108" w:type="dxa"/>
          </w:tblCellMar>
        </w:tblPrEx>
        <w:trPr>
          <w:trHeight w:val="397" w:hRule="atLeast"/>
          <w:jc w:val="center"/>
        </w:trPr>
        <w:tc>
          <w:tcPr>
            <w:tcW w:w="711" w:type="dxa"/>
            <w:tcBorders>
              <w:top w:val="nil"/>
              <w:left w:val="single" w:color="000000" w:sz="4" w:space="0"/>
              <w:bottom w:val="single" w:color="000000" w:sz="4" w:space="0"/>
              <w:right w:val="nil"/>
            </w:tcBorders>
            <w:shd w:val="clear" w:color="auto" w:fill="auto"/>
            <w:noWrap w:val="0"/>
            <w:vAlign w:val="center"/>
          </w:tcPr>
          <w:p w14:paraId="33A47967">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2.1</w:t>
            </w:r>
          </w:p>
        </w:tc>
        <w:tc>
          <w:tcPr>
            <w:tcW w:w="1230" w:type="dxa"/>
            <w:tcBorders>
              <w:top w:val="nil"/>
              <w:left w:val="single" w:color="000000" w:sz="4" w:space="0"/>
              <w:bottom w:val="single" w:color="000000" w:sz="4" w:space="0"/>
              <w:right w:val="single" w:color="000000" w:sz="4" w:space="0"/>
            </w:tcBorders>
            <w:shd w:val="clear" w:color="auto" w:fill="auto"/>
            <w:noWrap w:val="0"/>
            <w:vAlign w:val="center"/>
          </w:tcPr>
          <w:p w14:paraId="088412ED">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制度机制</w:t>
            </w:r>
          </w:p>
          <w:p w14:paraId="31540493">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（10分）</w:t>
            </w:r>
          </w:p>
        </w:tc>
        <w:tc>
          <w:tcPr>
            <w:tcW w:w="8480" w:type="dxa"/>
            <w:tcBorders>
              <w:top w:val="nil"/>
              <w:left w:val="nil"/>
              <w:bottom w:val="single" w:color="000000" w:sz="4" w:space="0"/>
              <w:right w:val="single" w:color="000000" w:sz="4" w:space="0"/>
            </w:tcBorders>
            <w:shd w:val="clear" w:color="auto" w:fill="auto"/>
            <w:noWrap w:val="0"/>
            <w:vAlign w:val="center"/>
          </w:tcPr>
          <w:p w14:paraId="2E6EAFD0">
            <w:pPr>
              <w:rPr>
                <w:rFonts w:hint="eastAsia" w:eastAsia="仿宋_GB2312"/>
                <w:snapToGrid w:val="0"/>
                <w:color w:val="000000"/>
                <w:kern w:val="0"/>
                <w:sz w:val="20"/>
                <w:szCs w:val="20"/>
              </w:rPr>
            </w:pPr>
            <w:r>
              <w:rPr>
                <w:rFonts w:hint="eastAsia" w:eastAsia="仿宋_GB2312"/>
                <w:snapToGrid w:val="0"/>
                <w:color w:val="000000"/>
                <w:kern w:val="0"/>
                <w:sz w:val="20"/>
                <w:szCs w:val="20"/>
              </w:rPr>
              <w:t>该项指标主要考核经营者是否有完善的食品安全管理组织机构，是否制定有原料控制，餐用具清洗消毒，餐饮服务过程控制、从业人员健康管理、从业人员培训、食品安全自查，进货查验和记录、食品留样、场所及设施设备清洗消毒和维修保养，食品安全信息追溯、投诉处理等保证食品安全的制度，并制定食品安全突发事件应急处置方案。（此项建议由学校考核）</w:t>
            </w:r>
          </w:p>
        </w:tc>
      </w:tr>
      <w:tr w14:paraId="4A4B7498">
        <w:tblPrEx>
          <w:tblCellMar>
            <w:top w:w="0" w:type="dxa"/>
            <w:left w:w="108" w:type="dxa"/>
            <w:bottom w:w="0" w:type="dxa"/>
            <w:right w:w="108" w:type="dxa"/>
          </w:tblCellMar>
        </w:tblPrEx>
        <w:trPr>
          <w:trHeight w:val="397" w:hRule="atLeast"/>
          <w:jc w:val="center"/>
        </w:trPr>
        <w:tc>
          <w:tcPr>
            <w:tcW w:w="711" w:type="dxa"/>
            <w:tcBorders>
              <w:top w:val="nil"/>
              <w:left w:val="single" w:color="000000" w:sz="4" w:space="0"/>
              <w:bottom w:val="single" w:color="000000" w:sz="4" w:space="0"/>
              <w:right w:val="single" w:color="000000" w:sz="4" w:space="0"/>
            </w:tcBorders>
            <w:shd w:val="clear" w:color="auto" w:fill="auto"/>
            <w:noWrap/>
            <w:vAlign w:val="center"/>
          </w:tcPr>
          <w:p w14:paraId="1DC03821">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2.2</w:t>
            </w:r>
          </w:p>
        </w:tc>
        <w:tc>
          <w:tcPr>
            <w:tcW w:w="1230" w:type="dxa"/>
            <w:tcBorders>
              <w:top w:val="nil"/>
              <w:left w:val="nil"/>
              <w:bottom w:val="single" w:color="000000" w:sz="4" w:space="0"/>
              <w:right w:val="single" w:color="000000" w:sz="4" w:space="0"/>
            </w:tcBorders>
            <w:shd w:val="clear" w:color="auto" w:fill="auto"/>
            <w:noWrap/>
            <w:vAlign w:val="center"/>
          </w:tcPr>
          <w:p w14:paraId="5C43435B">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人员管理</w:t>
            </w:r>
          </w:p>
          <w:p w14:paraId="5C726CA9">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（20分）</w:t>
            </w:r>
          </w:p>
        </w:tc>
        <w:tc>
          <w:tcPr>
            <w:tcW w:w="8480" w:type="dxa"/>
            <w:tcBorders>
              <w:top w:val="nil"/>
              <w:left w:val="nil"/>
              <w:bottom w:val="single" w:color="000000" w:sz="4" w:space="0"/>
              <w:right w:val="single" w:color="000000" w:sz="4" w:space="0"/>
            </w:tcBorders>
            <w:shd w:val="clear" w:color="auto" w:fill="auto"/>
            <w:noWrap w:val="0"/>
            <w:vAlign w:val="center"/>
          </w:tcPr>
          <w:p w14:paraId="22B2138E">
            <w:pPr>
              <w:rPr>
                <w:rFonts w:hint="eastAsia" w:eastAsia="仿宋_GB2312"/>
                <w:snapToGrid w:val="0"/>
                <w:color w:val="000000"/>
                <w:kern w:val="0"/>
                <w:sz w:val="20"/>
                <w:szCs w:val="20"/>
              </w:rPr>
            </w:pPr>
            <w:r>
              <w:rPr>
                <w:rFonts w:hint="eastAsia" w:eastAsia="仿宋_GB2312"/>
                <w:snapToGrid w:val="0"/>
                <w:color w:val="000000"/>
                <w:kern w:val="0"/>
                <w:sz w:val="20"/>
                <w:szCs w:val="20"/>
              </w:rPr>
              <w:t>该项指标主要考核经营者是否按要求配备食品安全总监、食品安全员等食品安全管理人员，并经考核合格后上岗；接触直接入口食品从业人员是否持有有效健康证明；是否加强从业人员健康管理，是否对患有发热、呕吐、腹泻、咽部严重炎症等病症，皮肤有伤口或者感染等健康状况异常员工及时调离工作岗位；是否对食堂管理人员、从业人员定期开展培训考核。（此项建议由学校考核）</w:t>
            </w:r>
          </w:p>
        </w:tc>
      </w:tr>
      <w:tr w14:paraId="5121FADC">
        <w:tblPrEx>
          <w:tblCellMar>
            <w:top w:w="0" w:type="dxa"/>
            <w:left w:w="108" w:type="dxa"/>
            <w:bottom w:w="0" w:type="dxa"/>
            <w:right w:w="108" w:type="dxa"/>
          </w:tblCellMar>
        </w:tblPrEx>
        <w:trPr>
          <w:trHeight w:val="397" w:hRule="atLeast"/>
          <w:jc w:val="center"/>
        </w:trPr>
        <w:tc>
          <w:tcPr>
            <w:tcW w:w="711" w:type="dxa"/>
            <w:tcBorders>
              <w:top w:val="nil"/>
              <w:left w:val="single" w:color="000000" w:sz="4" w:space="0"/>
              <w:bottom w:val="single" w:color="auto" w:sz="4" w:space="0"/>
              <w:right w:val="single" w:color="000000" w:sz="4" w:space="0"/>
            </w:tcBorders>
            <w:shd w:val="clear" w:color="auto" w:fill="auto"/>
            <w:noWrap w:val="0"/>
            <w:vAlign w:val="center"/>
          </w:tcPr>
          <w:p w14:paraId="32E9D37B">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2.3</w:t>
            </w:r>
          </w:p>
        </w:tc>
        <w:tc>
          <w:tcPr>
            <w:tcW w:w="1230" w:type="dxa"/>
            <w:tcBorders>
              <w:top w:val="nil"/>
              <w:left w:val="nil"/>
              <w:bottom w:val="single" w:color="auto" w:sz="4" w:space="0"/>
              <w:right w:val="single" w:color="000000" w:sz="4" w:space="0"/>
            </w:tcBorders>
            <w:shd w:val="clear" w:color="auto" w:fill="auto"/>
            <w:noWrap w:val="0"/>
            <w:vAlign w:val="center"/>
          </w:tcPr>
          <w:p w14:paraId="475EC219">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过程控制</w:t>
            </w:r>
          </w:p>
          <w:p w14:paraId="33BC7C1E">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（30分）</w:t>
            </w:r>
          </w:p>
        </w:tc>
        <w:tc>
          <w:tcPr>
            <w:tcW w:w="8480" w:type="dxa"/>
            <w:tcBorders>
              <w:top w:val="nil"/>
              <w:left w:val="nil"/>
              <w:bottom w:val="single" w:color="auto" w:sz="4" w:space="0"/>
              <w:right w:val="single" w:color="000000" w:sz="4" w:space="0"/>
            </w:tcBorders>
            <w:shd w:val="clear" w:color="auto" w:fill="auto"/>
            <w:noWrap w:val="0"/>
            <w:vAlign w:val="center"/>
          </w:tcPr>
          <w:p w14:paraId="01F6B301">
            <w:pPr>
              <w:rPr>
                <w:rFonts w:hint="eastAsia" w:eastAsia="仿宋_GB2312"/>
                <w:snapToGrid w:val="0"/>
                <w:color w:val="000000"/>
                <w:kern w:val="0"/>
                <w:sz w:val="20"/>
                <w:szCs w:val="20"/>
              </w:rPr>
            </w:pPr>
            <w:r>
              <w:rPr>
                <w:rFonts w:hint="eastAsia" w:eastAsia="仿宋_GB2312"/>
                <w:snapToGrid w:val="0"/>
                <w:color w:val="000000"/>
                <w:kern w:val="0"/>
                <w:sz w:val="20"/>
                <w:szCs w:val="20"/>
              </w:rPr>
              <w:t>该项指标主要考核经营者是否严格落实进货查验、原料贮存、加工制作、食品留样、供餐、餐饮具清洗消毒、废弃物管理、有害生物防制等各项管理制度；是否确保原料来源合法合规、安全、可追溯；是否超许可范围加工餐食；是否加工制作主管部门明令禁止加工制售的食品；是否认真执行“日管控、周排查、月调度”工作机制，针对自查、检查发现的问题及时整改。（此项建议由学校考核）</w:t>
            </w:r>
          </w:p>
        </w:tc>
      </w:tr>
      <w:tr w14:paraId="1376096B">
        <w:tblPrEx>
          <w:tblCellMar>
            <w:top w:w="0" w:type="dxa"/>
            <w:left w:w="108" w:type="dxa"/>
            <w:bottom w:w="0" w:type="dxa"/>
            <w:right w:w="108" w:type="dxa"/>
          </w:tblCellMar>
        </w:tblPrEx>
        <w:trPr>
          <w:trHeight w:val="397" w:hRule="atLeast"/>
          <w:jc w:val="center"/>
        </w:trPr>
        <w:tc>
          <w:tcPr>
            <w:tcW w:w="711" w:type="dxa"/>
            <w:tcBorders>
              <w:top w:val="nil"/>
              <w:left w:val="single" w:color="000000" w:sz="4" w:space="0"/>
              <w:bottom w:val="single" w:color="auto" w:sz="4" w:space="0"/>
              <w:right w:val="single" w:color="000000" w:sz="4" w:space="0"/>
            </w:tcBorders>
            <w:shd w:val="clear" w:color="auto" w:fill="auto"/>
            <w:noWrap w:val="0"/>
            <w:vAlign w:val="center"/>
          </w:tcPr>
          <w:p w14:paraId="40BDB040">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2.4</w:t>
            </w:r>
          </w:p>
        </w:tc>
        <w:tc>
          <w:tcPr>
            <w:tcW w:w="1230" w:type="dxa"/>
            <w:tcBorders>
              <w:top w:val="nil"/>
              <w:left w:val="nil"/>
              <w:bottom w:val="single" w:color="auto" w:sz="4" w:space="0"/>
              <w:right w:val="single" w:color="000000" w:sz="4" w:space="0"/>
            </w:tcBorders>
            <w:shd w:val="clear" w:color="auto" w:fill="auto"/>
            <w:noWrap w:val="0"/>
            <w:vAlign w:val="center"/>
          </w:tcPr>
          <w:p w14:paraId="1A0D0813">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服务质量</w:t>
            </w:r>
          </w:p>
          <w:p w14:paraId="474D0401">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（20分）</w:t>
            </w:r>
          </w:p>
        </w:tc>
        <w:tc>
          <w:tcPr>
            <w:tcW w:w="8480" w:type="dxa"/>
            <w:tcBorders>
              <w:top w:val="nil"/>
              <w:left w:val="nil"/>
              <w:bottom w:val="single" w:color="auto" w:sz="4" w:space="0"/>
              <w:right w:val="single" w:color="000000" w:sz="4" w:space="0"/>
            </w:tcBorders>
            <w:shd w:val="clear" w:color="auto" w:fill="auto"/>
            <w:noWrap w:val="0"/>
            <w:vAlign w:val="center"/>
          </w:tcPr>
          <w:p w14:paraId="1257DCC6">
            <w:pPr>
              <w:rPr>
                <w:rFonts w:hint="eastAsia" w:eastAsia="仿宋_GB2312"/>
                <w:snapToGrid w:val="0"/>
                <w:color w:val="000000"/>
                <w:kern w:val="0"/>
                <w:sz w:val="20"/>
                <w:szCs w:val="20"/>
              </w:rPr>
            </w:pPr>
            <w:r>
              <w:rPr>
                <w:rFonts w:hint="eastAsia" w:eastAsia="仿宋_GB2312"/>
                <w:snapToGrid w:val="0"/>
                <w:color w:val="000000"/>
                <w:kern w:val="0"/>
                <w:sz w:val="20"/>
                <w:szCs w:val="20"/>
              </w:rPr>
              <w:t>该项指标主要考核经营者是否严格执行服务合同中确定的其他内容，是否存在向学校行贿或者提供其他不正当利益的其他违规行为，是否及时解决师生用餐过程中遇到的问题、及时妥善处理各类投诉，是否及时对质量不合格食品进行销毁处理，以及学校应当进行评价的其他内容。（此项建议由学校考核）</w:t>
            </w:r>
          </w:p>
        </w:tc>
      </w:tr>
      <w:tr w14:paraId="7227A512">
        <w:tblPrEx>
          <w:tblCellMar>
            <w:top w:w="0" w:type="dxa"/>
            <w:left w:w="108" w:type="dxa"/>
            <w:bottom w:w="0" w:type="dxa"/>
            <w:right w:w="108" w:type="dxa"/>
          </w:tblCellMar>
        </w:tblPrEx>
        <w:trPr>
          <w:trHeight w:val="397" w:hRule="atLeast"/>
          <w:jc w:val="center"/>
        </w:trPr>
        <w:tc>
          <w:tcPr>
            <w:tcW w:w="1042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5658A51">
            <w:pPr>
              <w:rPr>
                <w:rFonts w:hint="eastAsia" w:eastAsia="仿宋_GB2312"/>
                <w:b/>
                <w:snapToGrid w:val="0"/>
                <w:color w:val="000000"/>
                <w:kern w:val="0"/>
                <w:sz w:val="20"/>
                <w:szCs w:val="20"/>
              </w:rPr>
            </w:pPr>
            <w:r>
              <w:rPr>
                <w:rFonts w:hint="eastAsia" w:eastAsia="仿宋_GB2312"/>
                <w:b/>
                <w:snapToGrid w:val="0"/>
                <w:color w:val="000000"/>
                <w:kern w:val="0"/>
                <w:sz w:val="20"/>
                <w:szCs w:val="20"/>
              </w:rPr>
              <w:t>三、一票否决项</w:t>
            </w:r>
          </w:p>
        </w:tc>
      </w:tr>
      <w:tr w14:paraId="44E97ED8">
        <w:tblPrEx>
          <w:tblCellMar>
            <w:top w:w="0" w:type="dxa"/>
            <w:left w:w="108" w:type="dxa"/>
            <w:bottom w:w="0" w:type="dxa"/>
            <w:right w:w="108" w:type="dxa"/>
          </w:tblCellMar>
        </w:tblPrEx>
        <w:trPr>
          <w:trHeight w:val="397" w:hRule="atLeast"/>
          <w:jc w:val="center"/>
        </w:trPr>
        <w:tc>
          <w:tcPr>
            <w:tcW w:w="711" w:type="dxa"/>
            <w:tcBorders>
              <w:top w:val="single" w:color="000000" w:sz="4" w:space="0"/>
              <w:left w:val="single" w:color="000000" w:sz="4" w:space="0"/>
              <w:bottom w:val="single" w:color="000000" w:sz="4" w:space="0"/>
              <w:right w:val="nil"/>
            </w:tcBorders>
            <w:shd w:val="clear" w:color="auto" w:fill="auto"/>
            <w:noWrap w:val="0"/>
            <w:vAlign w:val="center"/>
          </w:tcPr>
          <w:p w14:paraId="62FC1219">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3</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F3127A">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一票否决项内容</w:t>
            </w:r>
          </w:p>
        </w:tc>
        <w:tc>
          <w:tcPr>
            <w:tcW w:w="8480" w:type="dxa"/>
            <w:tcBorders>
              <w:top w:val="single" w:color="000000" w:sz="4" w:space="0"/>
              <w:left w:val="nil"/>
              <w:bottom w:val="single" w:color="000000" w:sz="4" w:space="0"/>
              <w:right w:val="single" w:color="000000" w:sz="4" w:space="0"/>
            </w:tcBorders>
            <w:shd w:val="clear" w:color="auto" w:fill="auto"/>
            <w:noWrap w:val="0"/>
            <w:vAlign w:val="center"/>
          </w:tcPr>
          <w:p w14:paraId="383890E0">
            <w:pPr>
              <w:rPr>
                <w:rFonts w:hint="eastAsia" w:eastAsia="仿宋_GB2312"/>
                <w:snapToGrid w:val="0"/>
                <w:color w:val="000000"/>
                <w:kern w:val="0"/>
                <w:sz w:val="20"/>
                <w:szCs w:val="20"/>
              </w:rPr>
            </w:pPr>
            <w:r>
              <w:rPr>
                <w:rFonts w:hint="eastAsia" w:eastAsia="仿宋_GB2312"/>
                <w:snapToGrid w:val="0"/>
                <w:color w:val="000000"/>
                <w:kern w:val="0"/>
                <w:sz w:val="20"/>
                <w:szCs w:val="20"/>
              </w:rPr>
              <w:t>1.通过提供虚假材料、围标串标等非法手段谋取中标、成交的。</w:t>
            </w:r>
          </w:p>
          <w:p w14:paraId="504E41EF">
            <w:pPr>
              <w:rPr>
                <w:rFonts w:hint="eastAsia" w:eastAsia="仿宋_GB2312"/>
                <w:snapToGrid w:val="0"/>
                <w:color w:val="000000"/>
                <w:kern w:val="0"/>
                <w:sz w:val="20"/>
                <w:szCs w:val="20"/>
              </w:rPr>
            </w:pPr>
            <w:r>
              <w:rPr>
                <w:rFonts w:hint="eastAsia" w:eastAsia="仿宋_GB2312"/>
                <w:snapToGrid w:val="0"/>
                <w:color w:val="000000"/>
                <w:kern w:val="0"/>
                <w:sz w:val="20"/>
                <w:szCs w:val="20"/>
              </w:rPr>
              <w:t>2.未按规定签订或者无正当理由拒绝签订采购合同，或擅自更换履约人，或对项目进行转包、违法分包的。</w:t>
            </w:r>
          </w:p>
          <w:p w14:paraId="3E9B6C95">
            <w:pPr>
              <w:rPr>
                <w:rFonts w:hint="eastAsia" w:eastAsia="仿宋_GB2312"/>
                <w:snapToGrid w:val="0"/>
                <w:color w:val="000000"/>
                <w:kern w:val="0"/>
                <w:sz w:val="20"/>
                <w:szCs w:val="20"/>
              </w:rPr>
            </w:pPr>
            <w:r>
              <w:rPr>
                <w:rFonts w:hint="eastAsia" w:eastAsia="仿宋_GB2312"/>
                <w:snapToGrid w:val="0"/>
                <w:color w:val="000000"/>
                <w:kern w:val="0"/>
                <w:sz w:val="20"/>
                <w:szCs w:val="20"/>
              </w:rPr>
              <w:t>3.不履行或不当履行合同义务，造成学校经济损失，经约谈后拒不整改或无实质性改善的。</w:t>
            </w:r>
          </w:p>
          <w:p w14:paraId="148DABF3">
            <w:pPr>
              <w:rPr>
                <w:rFonts w:hint="eastAsia" w:eastAsia="仿宋_GB2312"/>
                <w:snapToGrid w:val="0"/>
                <w:color w:val="000000"/>
                <w:kern w:val="0"/>
                <w:sz w:val="20"/>
                <w:szCs w:val="20"/>
              </w:rPr>
            </w:pPr>
            <w:r>
              <w:rPr>
                <w:rFonts w:hint="eastAsia" w:eastAsia="仿宋_GB2312"/>
                <w:snapToGrid w:val="0"/>
                <w:color w:val="000000"/>
                <w:kern w:val="0"/>
                <w:sz w:val="20"/>
                <w:szCs w:val="20"/>
              </w:rPr>
              <w:t>4.加工制售明知不符合食品安全标准的食品的。</w:t>
            </w:r>
          </w:p>
          <w:p w14:paraId="420409EC">
            <w:pPr>
              <w:rPr>
                <w:rFonts w:hint="eastAsia" w:eastAsia="仿宋_GB2312"/>
                <w:snapToGrid w:val="0"/>
                <w:color w:val="000000"/>
                <w:kern w:val="0"/>
                <w:sz w:val="20"/>
                <w:szCs w:val="20"/>
              </w:rPr>
            </w:pPr>
            <w:r>
              <w:rPr>
                <w:rFonts w:hint="eastAsia" w:eastAsia="仿宋_GB2312"/>
                <w:snapToGrid w:val="0"/>
                <w:color w:val="000000"/>
                <w:kern w:val="0"/>
                <w:sz w:val="20"/>
                <w:szCs w:val="20"/>
              </w:rPr>
              <w:t>5.擅自变更、中止或者终止承包（委托）合同的。</w:t>
            </w:r>
          </w:p>
          <w:p w14:paraId="157977DA">
            <w:pPr>
              <w:rPr>
                <w:rFonts w:hint="eastAsia" w:eastAsia="仿宋_GB2312"/>
                <w:snapToGrid w:val="0"/>
                <w:color w:val="000000"/>
                <w:kern w:val="0"/>
                <w:sz w:val="20"/>
                <w:szCs w:val="20"/>
              </w:rPr>
            </w:pPr>
            <w:r>
              <w:rPr>
                <w:rFonts w:hint="eastAsia" w:eastAsia="仿宋_GB2312"/>
                <w:snapToGrid w:val="0"/>
                <w:color w:val="000000"/>
                <w:kern w:val="0"/>
                <w:sz w:val="20"/>
                <w:szCs w:val="20"/>
              </w:rPr>
              <w:t>6.因经营者自身原因，未经协商单方面断供，并造成恶劣影响及严重后果的。</w:t>
            </w:r>
          </w:p>
          <w:p w14:paraId="747F8D0E">
            <w:pPr>
              <w:rPr>
                <w:rFonts w:hint="eastAsia" w:eastAsia="仿宋_GB2312"/>
                <w:snapToGrid w:val="0"/>
                <w:color w:val="000000"/>
                <w:kern w:val="0"/>
                <w:sz w:val="20"/>
                <w:szCs w:val="20"/>
              </w:rPr>
            </w:pPr>
            <w:r>
              <w:rPr>
                <w:rFonts w:hint="eastAsia" w:eastAsia="仿宋_GB2312"/>
                <w:snapToGrid w:val="0"/>
                <w:color w:val="000000"/>
                <w:kern w:val="0"/>
                <w:sz w:val="20"/>
                <w:szCs w:val="20"/>
              </w:rPr>
              <w:t>7.拒绝依法依规实施的监督检查或者在监督检查中提供虚假情况的。</w:t>
            </w:r>
          </w:p>
          <w:p w14:paraId="6C62B425">
            <w:pPr>
              <w:rPr>
                <w:rFonts w:hint="eastAsia" w:eastAsia="仿宋_GB2312"/>
                <w:snapToGrid w:val="0"/>
                <w:color w:val="000000"/>
                <w:kern w:val="0"/>
                <w:sz w:val="20"/>
                <w:szCs w:val="20"/>
              </w:rPr>
            </w:pPr>
            <w:r>
              <w:rPr>
                <w:rFonts w:hint="eastAsia" w:eastAsia="仿宋_GB2312"/>
                <w:snapToGrid w:val="0"/>
                <w:color w:val="000000"/>
                <w:kern w:val="0"/>
                <w:sz w:val="20"/>
                <w:szCs w:val="20"/>
              </w:rPr>
              <w:t>8.存在财务造假、重大财会违规等问题的。</w:t>
            </w:r>
          </w:p>
          <w:p w14:paraId="173688CF">
            <w:pPr>
              <w:rPr>
                <w:rFonts w:hint="eastAsia" w:eastAsia="仿宋_GB2312"/>
                <w:snapToGrid w:val="0"/>
                <w:color w:val="000000"/>
                <w:kern w:val="0"/>
                <w:sz w:val="20"/>
                <w:szCs w:val="20"/>
              </w:rPr>
            </w:pPr>
            <w:r>
              <w:rPr>
                <w:rFonts w:hint="eastAsia" w:eastAsia="仿宋_GB2312"/>
                <w:snapToGrid w:val="0"/>
                <w:color w:val="000000"/>
                <w:kern w:val="0"/>
                <w:sz w:val="20"/>
                <w:szCs w:val="20"/>
              </w:rPr>
              <w:t>9.被列入严重违法失信名单或食品安全信用等级评定为严重失信的。</w:t>
            </w:r>
          </w:p>
          <w:p w14:paraId="6769003B">
            <w:pPr>
              <w:rPr>
                <w:rFonts w:hint="eastAsia" w:eastAsia="仿宋_GB2312"/>
                <w:snapToGrid w:val="0"/>
                <w:color w:val="000000"/>
                <w:kern w:val="0"/>
                <w:sz w:val="20"/>
                <w:szCs w:val="20"/>
              </w:rPr>
            </w:pPr>
            <w:r>
              <w:rPr>
                <w:rFonts w:hint="eastAsia" w:eastAsia="仿宋_GB2312"/>
                <w:snapToGrid w:val="0"/>
                <w:color w:val="000000"/>
                <w:kern w:val="0"/>
                <w:sz w:val="20"/>
                <w:szCs w:val="20"/>
              </w:rPr>
              <w:t>10.违反食品安全法律法规，被市场监管部门吊销食品经营许可证的，或违反相关法律法规，被登记机关吊销营业执照的。</w:t>
            </w:r>
          </w:p>
          <w:p w14:paraId="541689AE">
            <w:pPr>
              <w:rPr>
                <w:rFonts w:hint="eastAsia" w:eastAsia="仿宋_GB2312"/>
                <w:snapToGrid w:val="0"/>
                <w:color w:val="000000"/>
                <w:kern w:val="0"/>
                <w:sz w:val="20"/>
                <w:szCs w:val="20"/>
              </w:rPr>
            </w:pPr>
            <w:r>
              <w:rPr>
                <w:rFonts w:hint="eastAsia" w:eastAsia="仿宋_GB2312"/>
                <w:snapToGrid w:val="0"/>
                <w:color w:val="000000"/>
                <w:kern w:val="0"/>
                <w:sz w:val="20"/>
                <w:szCs w:val="20"/>
              </w:rPr>
              <w:t>11.服务期内因经营管理直接引发食品安全责任事故或查实敏感及以上食品安全负面舆情事件。</w:t>
            </w:r>
          </w:p>
          <w:p w14:paraId="3FF27D6B">
            <w:pPr>
              <w:rPr>
                <w:rFonts w:hint="eastAsia" w:eastAsia="仿宋_GB2312"/>
                <w:snapToGrid w:val="0"/>
                <w:color w:val="000000"/>
                <w:kern w:val="0"/>
                <w:sz w:val="20"/>
                <w:szCs w:val="20"/>
              </w:rPr>
            </w:pPr>
            <w:r>
              <w:rPr>
                <w:rFonts w:hint="eastAsia" w:eastAsia="仿宋_GB2312"/>
                <w:snapToGrid w:val="0"/>
                <w:color w:val="000000"/>
                <w:kern w:val="0"/>
                <w:sz w:val="20"/>
                <w:szCs w:val="20"/>
              </w:rPr>
              <w:t>（此项建议由采购人组织考核，可结合实际完善指标）</w:t>
            </w:r>
          </w:p>
        </w:tc>
      </w:tr>
    </w:tbl>
    <w:p w14:paraId="4B1BF71C">
      <w:pPr>
        <w:rPr>
          <w:rFonts w:hint="eastAsia" w:eastAsia="仿宋_GB2312"/>
          <w:snapToGrid w:val="0"/>
          <w:color w:val="000000"/>
          <w:kern w:val="0"/>
          <w:sz w:val="20"/>
          <w:szCs w:val="20"/>
        </w:rPr>
      </w:pPr>
      <w:r>
        <w:rPr>
          <w:rFonts w:hint="eastAsia" w:eastAsia="仿宋_GB2312"/>
          <w:snapToGrid w:val="0"/>
          <w:color w:val="000000"/>
          <w:kern w:val="0"/>
          <w:sz w:val="20"/>
          <w:szCs w:val="20"/>
        </w:rPr>
        <w:t>注：1.评价工作要点供参考，采购人根据实际情况调整，完善细化。鼓励采用百分制计分，建议日常行为评价分值不低于80分，评价总分值低于70分为不合格。涉及“一票否决项内容”直接评价为不合格。2.学校食堂采用劳务外包或劳务派遣等用工方式的，可以参照实施评价工作。</w:t>
      </w:r>
    </w:p>
    <w:p w14:paraId="1B9D9D83">
      <w:pPr>
        <w:spacing w:line="570" w:lineRule="exact"/>
        <w:rPr>
          <w:rFonts w:hint="eastAsia" w:eastAsia="黑体"/>
          <w:snapToGrid w:val="0"/>
          <w:color w:val="000000"/>
          <w:kern w:val="0"/>
        </w:rPr>
      </w:pPr>
      <w:r>
        <w:rPr>
          <w:rFonts w:hint="eastAsia" w:eastAsia="黑体"/>
          <w:snapToGrid w:val="0"/>
          <w:color w:val="000000"/>
          <w:kern w:val="0"/>
        </w:rPr>
        <w:t>附录C</w:t>
      </w:r>
    </w:p>
    <w:p w14:paraId="65FC4A6E">
      <w:pPr>
        <w:jc w:val="center"/>
        <w:rPr>
          <w:rFonts w:hint="eastAsia" w:eastAsia="方正小标宋_GBK"/>
          <w:sz w:val="40"/>
          <w:szCs w:val="40"/>
        </w:rPr>
      </w:pPr>
      <w:r>
        <w:rPr>
          <w:rFonts w:hint="eastAsia" w:eastAsia="方正小标宋_GBK"/>
          <w:sz w:val="40"/>
          <w:szCs w:val="40"/>
        </w:rPr>
        <w:t>校外供餐企业评价工作要点</w:t>
      </w:r>
    </w:p>
    <w:p w14:paraId="7DB29A2B">
      <w:pPr>
        <w:ind w:firstLine="640" w:firstLineChars="200"/>
        <w:rPr>
          <w:rFonts w:hint="eastAsia" w:eastAsia="仿宋_GB2312"/>
          <w:szCs w:val="40"/>
        </w:rPr>
      </w:pPr>
    </w:p>
    <w:tbl>
      <w:tblPr>
        <w:tblStyle w:val="28"/>
        <w:tblW w:w="9695" w:type="dxa"/>
        <w:jc w:val="center"/>
        <w:tblCaption w:val="Tablek74g"/>
        <w:tblLayout w:type="fixed"/>
        <w:tblCellMar>
          <w:top w:w="0" w:type="dxa"/>
          <w:left w:w="108" w:type="dxa"/>
          <w:bottom w:w="0" w:type="dxa"/>
          <w:right w:w="108" w:type="dxa"/>
        </w:tblCellMar>
      </w:tblPr>
      <w:tblGrid>
        <w:gridCol w:w="711"/>
        <w:gridCol w:w="1557"/>
        <w:gridCol w:w="7427"/>
      </w:tblGrid>
      <w:tr w14:paraId="2B9CCA8E">
        <w:tblPrEx>
          <w:tblCellMar>
            <w:top w:w="0" w:type="dxa"/>
            <w:left w:w="108" w:type="dxa"/>
            <w:bottom w:w="0" w:type="dxa"/>
            <w:right w:w="108" w:type="dxa"/>
          </w:tblCellMar>
        </w:tblPrEx>
        <w:trPr>
          <w:trHeight w:val="454" w:hRule="atLeast"/>
          <w:jc w:val="center"/>
        </w:trPr>
        <w:tc>
          <w:tcPr>
            <w:tcW w:w="7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8C517">
            <w:pPr>
              <w:jc w:val="center"/>
              <w:rPr>
                <w:rFonts w:hint="eastAsia" w:eastAsia="黑体"/>
                <w:snapToGrid w:val="0"/>
                <w:color w:val="000000"/>
                <w:kern w:val="0"/>
                <w:sz w:val="20"/>
                <w:szCs w:val="20"/>
              </w:rPr>
            </w:pPr>
            <w:r>
              <w:rPr>
                <w:rFonts w:hint="eastAsia" w:eastAsia="黑体"/>
                <w:snapToGrid w:val="0"/>
                <w:color w:val="000000"/>
                <w:kern w:val="0"/>
                <w:sz w:val="20"/>
                <w:szCs w:val="20"/>
              </w:rPr>
              <w:t>序列</w:t>
            </w:r>
          </w:p>
        </w:tc>
        <w:tc>
          <w:tcPr>
            <w:tcW w:w="1557" w:type="dxa"/>
            <w:tcBorders>
              <w:top w:val="single" w:color="000000" w:sz="4" w:space="0"/>
              <w:left w:val="nil"/>
              <w:bottom w:val="single" w:color="000000" w:sz="4" w:space="0"/>
              <w:right w:val="single" w:color="000000" w:sz="4" w:space="0"/>
            </w:tcBorders>
            <w:shd w:val="clear" w:color="auto" w:fill="auto"/>
            <w:noWrap/>
            <w:vAlign w:val="center"/>
          </w:tcPr>
          <w:p w14:paraId="11D95E57">
            <w:pPr>
              <w:jc w:val="center"/>
              <w:rPr>
                <w:rFonts w:hint="eastAsia" w:eastAsia="黑体"/>
                <w:snapToGrid w:val="0"/>
                <w:color w:val="000000"/>
                <w:kern w:val="0"/>
                <w:sz w:val="20"/>
                <w:szCs w:val="20"/>
              </w:rPr>
            </w:pPr>
            <w:r>
              <w:rPr>
                <w:rFonts w:hint="eastAsia" w:eastAsia="黑体"/>
                <w:snapToGrid w:val="0"/>
                <w:color w:val="000000"/>
                <w:kern w:val="0"/>
                <w:sz w:val="20"/>
                <w:szCs w:val="20"/>
              </w:rPr>
              <w:t>评价项目</w:t>
            </w:r>
          </w:p>
        </w:tc>
        <w:tc>
          <w:tcPr>
            <w:tcW w:w="7427" w:type="dxa"/>
            <w:tcBorders>
              <w:top w:val="single" w:color="000000" w:sz="4" w:space="0"/>
              <w:left w:val="nil"/>
              <w:bottom w:val="single" w:color="000000" w:sz="4" w:space="0"/>
              <w:right w:val="single" w:color="000000" w:sz="4" w:space="0"/>
            </w:tcBorders>
            <w:shd w:val="clear" w:color="auto" w:fill="auto"/>
            <w:noWrap/>
            <w:vAlign w:val="center"/>
          </w:tcPr>
          <w:p w14:paraId="273A1137">
            <w:pPr>
              <w:jc w:val="center"/>
              <w:rPr>
                <w:rFonts w:hint="eastAsia" w:eastAsia="黑体"/>
                <w:snapToGrid w:val="0"/>
                <w:color w:val="000000"/>
                <w:kern w:val="0"/>
                <w:sz w:val="20"/>
                <w:szCs w:val="20"/>
              </w:rPr>
            </w:pPr>
            <w:r>
              <w:rPr>
                <w:rFonts w:hint="eastAsia" w:eastAsia="黑体"/>
                <w:snapToGrid w:val="0"/>
                <w:color w:val="000000"/>
                <w:kern w:val="0"/>
                <w:sz w:val="20"/>
                <w:szCs w:val="20"/>
              </w:rPr>
              <w:t>评价要点</w:t>
            </w:r>
          </w:p>
        </w:tc>
      </w:tr>
      <w:tr w14:paraId="58107DEE">
        <w:tblPrEx>
          <w:tblCellMar>
            <w:top w:w="0" w:type="dxa"/>
            <w:left w:w="108" w:type="dxa"/>
            <w:bottom w:w="0" w:type="dxa"/>
            <w:right w:w="108" w:type="dxa"/>
          </w:tblCellMar>
        </w:tblPrEx>
        <w:trPr>
          <w:trHeight w:val="454" w:hRule="atLeast"/>
          <w:jc w:val="center"/>
        </w:trPr>
        <w:tc>
          <w:tcPr>
            <w:tcW w:w="9695" w:type="dxa"/>
            <w:gridSpan w:val="3"/>
            <w:tcBorders>
              <w:top w:val="nil"/>
              <w:left w:val="single" w:color="000000" w:sz="4" w:space="0"/>
              <w:bottom w:val="single" w:color="000000" w:sz="4" w:space="0"/>
              <w:right w:val="single" w:color="000000" w:sz="4" w:space="0"/>
            </w:tcBorders>
            <w:shd w:val="clear" w:color="auto" w:fill="auto"/>
            <w:noWrap w:val="0"/>
            <w:vAlign w:val="center"/>
          </w:tcPr>
          <w:p w14:paraId="0C2B4CB5">
            <w:pPr>
              <w:rPr>
                <w:rFonts w:hint="eastAsia" w:eastAsia="仿宋_GB2312"/>
                <w:b/>
                <w:snapToGrid w:val="0"/>
                <w:color w:val="000000"/>
                <w:kern w:val="0"/>
                <w:sz w:val="20"/>
                <w:szCs w:val="20"/>
              </w:rPr>
            </w:pPr>
            <w:r>
              <w:rPr>
                <w:rFonts w:hint="eastAsia" w:eastAsia="仿宋_GB2312"/>
                <w:b/>
                <w:snapToGrid w:val="0"/>
                <w:color w:val="000000"/>
                <w:kern w:val="0"/>
                <w:sz w:val="20"/>
                <w:szCs w:val="20"/>
              </w:rPr>
              <w:t>一、满意度评价（20分）</w:t>
            </w:r>
          </w:p>
        </w:tc>
      </w:tr>
      <w:tr w14:paraId="3D8EF425">
        <w:tblPrEx>
          <w:tblCellMar>
            <w:top w:w="0" w:type="dxa"/>
            <w:left w:w="108" w:type="dxa"/>
            <w:bottom w:w="0" w:type="dxa"/>
            <w:right w:w="108" w:type="dxa"/>
          </w:tblCellMar>
        </w:tblPrEx>
        <w:trPr>
          <w:trHeight w:val="454" w:hRule="atLeast"/>
          <w:jc w:val="center"/>
        </w:trPr>
        <w:tc>
          <w:tcPr>
            <w:tcW w:w="711" w:type="dxa"/>
            <w:tcBorders>
              <w:top w:val="nil"/>
              <w:left w:val="single" w:color="000000" w:sz="4" w:space="0"/>
              <w:bottom w:val="single" w:color="000000" w:sz="4" w:space="0"/>
              <w:right w:val="nil"/>
            </w:tcBorders>
            <w:shd w:val="clear" w:color="auto" w:fill="auto"/>
            <w:noWrap w:val="0"/>
            <w:vAlign w:val="center"/>
          </w:tcPr>
          <w:p w14:paraId="63573DE7">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1</w:t>
            </w:r>
          </w:p>
        </w:tc>
        <w:tc>
          <w:tcPr>
            <w:tcW w:w="1557" w:type="dxa"/>
            <w:tcBorders>
              <w:top w:val="nil"/>
              <w:left w:val="single" w:color="000000" w:sz="4" w:space="0"/>
              <w:bottom w:val="single" w:color="000000" w:sz="4" w:space="0"/>
              <w:right w:val="single" w:color="000000" w:sz="4" w:space="0"/>
            </w:tcBorders>
            <w:shd w:val="clear" w:color="auto" w:fill="auto"/>
            <w:noWrap w:val="0"/>
            <w:vAlign w:val="center"/>
          </w:tcPr>
          <w:p w14:paraId="45E4F61D">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师生总体</w:t>
            </w:r>
          </w:p>
          <w:p w14:paraId="44764578">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满意度</w:t>
            </w:r>
          </w:p>
        </w:tc>
        <w:tc>
          <w:tcPr>
            <w:tcW w:w="7427" w:type="dxa"/>
            <w:tcBorders>
              <w:top w:val="single" w:color="000000" w:sz="4" w:space="0"/>
              <w:left w:val="nil"/>
              <w:bottom w:val="single" w:color="000000" w:sz="4" w:space="0"/>
              <w:right w:val="single" w:color="000000" w:sz="4" w:space="0"/>
            </w:tcBorders>
            <w:shd w:val="clear" w:color="auto" w:fill="auto"/>
            <w:noWrap/>
            <w:vAlign w:val="center"/>
          </w:tcPr>
          <w:p w14:paraId="174D5100">
            <w:pPr>
              <w:tabs>
                <w:tab w:val="left" w:pos="312"/>
              </w:tabs>
              <w:rPr>
                <w:rFonts w:hint="eastAsia" w:eastAsia="仿宋_GB2312"/>
                <w:snapToGrid w:val="0"/>
                <w:color w:val="000000"/>
                <w:kern w:val="0"/>
                <w:sz w:val="20"/>
                <w:szCs w:val="20"/>
              </w:rPr>
            </w:pPr>
            <w:r>
              <w:rPr>
                <w:rFonts w:hint="eastAsia" w:eastAsia="仿宋_GB2312"/>
                <w:snapToGrid w:val="0"/>
                <w:color w:val="000000"/>
                <w:kern w:val="0"/>
                <w:sz w:val="20"/>
                <w:szCs w:val="20"/>
              </w:rPr>
              <w:t>该项指标主要调查就餐师生对供餐企业提供餐食的满意度情况。（此项建议由采购人组织考核）</w:t>
            </w:r>
          </w:p>
        </w:tc>
      </w:tr>
      <w:tr w14:paraId="29A69325">
        <w:tblPrEx>
          <w:tblCellMar>
            <w:top w:w="0" w:type="dxa"/>
            <w:left w:w="108" w:type="dxa"/>
            <w:bottom w:w="0" w:type="dxa"/>
            <w:right w:w="108" w:type="dxa"/>
          </w:tblCellMar>
        </w:tblPrEx>
        <w:trPr>
          <w:trHeight w:val="454" w:hRule="atLeast"/>
          <w:jc w:val="center"/>
        </w:trPr>
        <w:tc>
          <w:tcPr>
            <w:tcW w:w="9695" w:type="dxa"/>
            <w:gridSpan w:val="3"/>
            <w:tcBorders>
              <w:top w:val="nil"/>
              <w:left w:val="single" w:color="000000" w:sz="4" w:space="0"/>
              <w:bottom w:val="single" w:color="000000" w:sz="4" w:space="0"/>
              <w:right w:val="single" w:color="000000" w:sz="4" w:space="0"/>
            </w:tcBorders>
            <w:shd w:val="clear" w:color="auto" w:fill="auto"/>
            <w:noWrap w:val="0"/>
            <w:vAlign w:val="center"/>
          </w:tcPr>
          <w:p w14:paraId="44959A5A">
            <w:pPr>
              <w:rPr>
                <w:rFonts w:hint="eastAsia" w:eastAsia="仿宋_GB2312"/>
                <w:b/>
                <w:snapToGrid w:val="0"/>
                <w:color w:val="000000"/>
                <w:kern w:val="0"/>
                <w:sz w:val="20"/>
                <w:szCs w:val="20"/>
              </w:rPr>
            </w:pPr>
            <w:r>
              <w:rPr>
                <w:rFonts w:hint="eastAsia" w:eastAsia="仿宋_GB2312"/>
                <w:b/>
                <w:snapToGrid w:val="0"/>
                <w:color w:val="000000"/>
                <w:kern w:val="0"/>
                <w:sz w:val="20"/>
                <w:szCs w:val="20"/>
              </w:rPr>
              <w:t>二、实地考察（40分）</w:t>
            </w:r>
          </w:p>
        </w:tc>
      </w:tr>
      <w:tr w14:paraId="4E473045">
        <w:tblPrEx>
          <w:tblCellMar>
            <w:top w:w="0" w:type="dxa"/>
            <w:left w:w="108" w:type="dxa"/>
            <w:bottom w:w="0" w:type="dxa"/>
            <w:right w:w="108" w:type="dxa"/>
          </w:tblCellMar>
        </w:tblPrEx>
        <w:trPr>
          <w:trHeight w:val="1612" w:hRule="atLeast"/>
          <w:jc w:val="center"/>
        </w:trPr>
        <w:tc>
          <w:tcPr>
            <w:tcW w:w="711" w:type="dxa"/>
            <w:tcBorders>
              <w:top w:val="nil"/>
              <w:left w:val="single" w:color="000000" w:sz="4" w:space="0"/>
              <w:bottom w:val="single" w:color="000000" w:sz="4" w:space="0"/>
              <w:right w:val="nil"/>
            </w:tcBorders>
            <w:shd w:val="clear" w:color="auto" w:fill="auto"/>
            <w:noWrap w:val="0"/>
            <w:vAlign w:val="center"/>
          </w:tcPr>
          <w:p w14:paraId="23C64440">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2.1</w:t>
            </w:r>
          </w:p>
        </w:tc>
        <w:tc>
          <w:tcPr>
            <w:tcW w:w="1557" w:type="dxa"/>
            <w:tcBorders>
              <w:top w:val="nil"/>
              <w:left w:val="single" w:color="000000" w:sz="4" w:space="0"/>
              <w:bottom w:val="single" w:color="000000" w:sz="4" w:space="0"/>
              <w:right w:val="single" w:color="000000" w:sz="4" w:space="0"/>
            </w:tcBorders>
            <w:shd w:val="clear" w:color="auto" w:fill="auto"/>
            <w:noWrap w:val="0"/>
            <w:vAlign w:val="center"/>
          </w:tcPr>
          <w:p w14:paraId="39D10E5D">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场所设施</w:t>
            </w:r>
          </w:p>
          <w:p w14:paraId="67127FFC">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（15分）</w:t>
            </w:r>
          </w:p>
        </w:tc>
        <w:tc>
          <w:tcPr>
            <w:tcW w:w="7427" w:type="dxa"/>
            <w:tcBorders>
              <w:top w:val="nil"/>
              <w:left w:val="nil"/>
              <w:bottom w:val="single" w:color="000000" w:sz="4" w:space="0"/>
              <w:right w:val="single" w:color="000000" w:sz="4" w:space="0"/>
            </w:tcBorders>
            <w:shd w:val="clear" w:color="auto" w:fill="auto"/>
            <w:noWrap w:val="0"/>
            <w:vAlign w:val="center"/>
          </w:tcPr>
          <w:p w14:paraId="6B8CD1BA">
            <w:pPr>
              <w:rPr>
                <w:rFonts w:hint="eastAsia" w:eastAsia="仿宋_GB2312"/>
                <w:snapToGrid w:val="0"/>
                <w:color w:val="000000"/>
                <w:kern w:val="0"/>
                <w:sz w:val="20"/>
                <w:szCs w:val="20"/>
              </w:rPr>
            </w:pPr>
            <w:r>
              <w:rPr>
                <w:rFonts w:hint="eastAsia" w:eastAsia="仿宋_GB2312"/>
                <w:snapToGrid w:val="0"/>
                <w:color w:val="000000"/>
                <w:kern w:val="0"/>
                <w:sz w:val="20"/>
                <w:szCs w:val="20"/>
              </w:rPr>
              <w:t>该项指标主要考核供餐企业是否有固定的生产经营场所，生产、经营、储存等设施设备是否齐全、运行正常、满足生产经营需求，是否具备良好的卫生条件，是否配备封闭式食品专用运输车辆，运输车辆是否安装行驶轨迹监控、装卸食品的视频监控、食品保温或冷藏设备等。（此项建议由采购人考核）</w:t>
            </w:r>
          </w:p>
        </w:tc>
      </w:tr>
      <w:tr w14:paraId="3420BC13">
        <w:tblPrEx>
          <w:tblCellMar>
            <w:top w:w="0" w:type="dxa"/>
            <w:left w:w="108" w:type="dxa"/>
            <w:bottom w:w="0" w:type="dxa"/>
            <w:right w:w="108" w:type="dxa"/>
          </w:tblCellMar>
        </w:tblPrEx>
        <w:trPr>
          <w:trHeight w:val="1134" w:hRule="atLeast"/>
          <w:jc w:val="center"/>
        </w:trPr>
        <w:tc>
          <w:tcPr>
            <w:tcW w:w="711" w:type="dxa"/>
            <w:tcBorders>
              <w:top w:val="nil"/>
              <w:left w:val="single" w:color="000000" w:sz="4" w:space="0"/>
              <w:bottom w:val="single" w:color="000000" w:sz="4" w:space="0"/>
              <w:right w:val="single" w:color="000000" w:sz="4" w:space="0"/>
            </w:tcBorders>
            <w:shd w:val="clear" w:color="auto" w:fill="auto"/>
            <w:noWrap/>
            <w:vAlign w:val="center"/>
          </w:tcPr>
          <w:p w14:paraId="5555AAD0">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2.2</w:t>
            </w:r>
          </w:p>
        </w:tc>
        <w:tc>
          <w:tcPr>
            <w:tcW w:w="1557" w:type="dxa"/>
            <w:tcBorders>
              <w:top w:val="nil"/>
              <w:left w:val="nil"/>
              <w:bottom w:val="single" w:color="000000" w:sz="4" w:space="0"/>
              <w:right w:val="single" w:color="000000" w:sz="4" w:space="0"/>
            </w:tcBorders>
            <w:shd w:val="clear" w:color="auto" w:fill="auto"/>
            <w:noWrap/>
            <w:vAlign w:val="center"/>
          </w:tcPr>
          <w:p w14:paraId="6AED0AD2">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制度机制</w:t>
            </w:r>
          </w:p>
          <w:p w14:paraId="48905D46">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（10分）</w:t>
            </w:r>
          </w:p>
        </w:tc>
        <w:tc>
          <w:tcPr>
            <w:tcW w:w="7427" w:type="dxa"/>
            <w:tcBorders>
              <w:top w:val="nil"/>
              <w:left w:val="nil"/>
              <w:bottom w:val="single" w:color="000000" w:sz="4" w:space="0"/>
              <w:right w:val="single" w:color="000000" w:sz="4" w:space="0"/>
            </w:tcBorders>
            <w:shd w:val="clear" w:color="auto" w:fill="auto"/>
            <w:noWrap w:val="0"/>
            <w:vAlign w:val="center"/>
          </w:tcPr>
          <w:p w14:paraId="65D762E5">
            <w:pPr>
              <w:rPr>
                <w:rFonts w:hint="eastAsia" w:eastAsia="仿宋_GB2312"/>
                <w:snapToGrid w:val="0"/>
                <w:color w:val="000000"/>
                <w:kern w:val="0"/>
                <w:sz w:val="20"/>
                <w:szCs w:val="20"/>
              </w:rPr>
            </w:pPr>
            <w:r>
              <w:rPr>
                <w:rFonts w:hint="eastAsia" w:eastAsia="仿宋_GB2312"/>
                <w:snapToGrid w:val="0"/>
                <w:color w:val="000000"/>
                <w:kern w:val="0"/>
                <w:sz w:val="20"/>
                <w:szCs w:val="20"/>
              </w:rPr>
              <w:t>该项指标主要考核供餐企业是否建立食品安全管理制度，是否制定食品安全事故应急预案，是否按要求配备食品安全总监、食品安全员等食品安全管理人员并经考核合格后上岗，是否配备具备资质的营养配餐人员等。（此项建议由采购人考核）</w:t>
            </w:r>
          </w:p>
        </w:tc>
      </w:tr>
      <w:tr w14:paraId="3213EC99">
        <w:tblPrEx>
          <w:tblCellMar>
            <w:top w:w="0" w:type="dxa"/>
            <w:left w:w="108" w:type="dxa"/>
            <w:bottom w:w="0" w:type="dxa"/>
            <w:right w:w="108" w:type="dxa"/>
          </w:tblCellMar>
        </w:tblPrEx>
        <w:trPr>
          <w:trHeight w:val="1552" w:hRule="atLeast"/>
          <w:jc w:val="center"/>
        </w:trPr>
        <w:tc>
          <w:tcPr>
            <w:tcW w:w="711" w:type="dxa"/>
            <w:tcBorders>
              <w:top w:val="nil"/>
              <w:left w:val="single" w:color="000000" w:sz="4" w:space="0"/>
              <w:bottom w:val="single" w:color="auto" w:sz="4" w:space="0"/>
              <w:right w:val="single" w:color="000000" w:sz="4" w:space="0"/>
            </w:tcBorders>
            <w:shd w:val="clear" w:color="auto" w:fill="auto"/>
            <w:noWrap w:val="0"/>
            <w:vAlign w:val="center"/>
          </w:tcPr>
          <w:p w14:paraId="3124A489">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2.3</w:t>
            </w:r>
          </w:p>
        </w:tc>
        <w:tc>
          <w:tcPr>
            <w:tcW w:w="1557" w:type="dxa"/>
            <w:tcBorders>
              <w:top w:val="nil"/>
              <w:left w:val="nil"/>
              <w:bottom w:val="single" w:color="auto" w:sz="4" w:space="0"/>
              <w:right w:val="single" w:color="000000" w:sz="4" w:space="0"/>
            </w:tcBorders>
            <w:shd w:val="clear" w:color="auto" w:fill="auto"/>
            <w:noWrap w:val="0"/>
            <w:vAlign w:val="center"/>
          </w:tcPr>
          <w:p w14:paraId="2BDB3747">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过程控制（15分）</w:t>
            </w:r>
          </w:p>
        </w:tc>
        <w:tc>
          <w:tcPr>
            <w:tcW w:w="7427" w:type="dxa"/>
            <w:tcBorders>
              <w:top w:val="nil"/>
              <w:left w:val="nil"/>
              <w:bottom w:val="single" w:color="auto" w:sz="4" w:space="0"/>
              <w:right w:val="single" w:color="000000" w:sz="4" w:space="0"/>
            </w:tcBorders>
            <w:shd w:val="clear" w:color="auto" w:fill="auto"/>
            <w:noWrap w:val="0"/>
            <w:vAlign w:val="center"/>
          </w:tcPr>
          <w:p w14:paraId="4EEAD550">
            <w:pPr>
              <w:rPr>
                <w:rFonts w:hint="eastAsia" w:eastAsia="仿宋_GB2312"/>
                <w:snapToGrid w:val="0"/>
                <w:color w:val="000000"/>
                <w:kern w:val="0"/>
                <w:sz w:val="20"/>
                <w:szCs w:val="20"/>
              </w:rPr>
            </w:pPr>
            <w:r>
              <w:rPr>
                <w:rFonts w:hint="eastAsia" w:eastAsia="仿宋_GB2312"/>
                <w:snapToGrid w:val="0"/>
                <w:color w:val="000000"/>
                <w:kern w:val="0"/>
                <w:sz w:val="20"/>
                <w:szCs w:val="20"/>
              </w:rPr>
              <w:t>该项指标主要考核供餐企业原料验收、索证索票、食品加工、留样、人员培训、健康管理、复用餐饮具清洗消毒等全环节是否严格执行食品安全管理制度，是否认真执行“日管控、周排查、月调度”工作机制，针对自查、检查发现的问题及时整改。（此项建议由采购人考核）</w:t>
            </w:r>
          </w:p>
        </w:tc>
      </w:tr>
      <w:tr w14:paraId="623A5D63">
        <w:tblPrEx>
          <w:tblCellMar>
            <w:top w:w="0" w:type="dxa"/>
            <w:left w:w="108" w:type="dxa"/>
            <w:bottom w:w="0" w:type="dxa"/>
            <w:right w:w="108" w:type="dxa"/>
          </w:tblCellMar>
        </w:tblPrEx>
        <w:trPr>
          <w:trHeight w:val="454" w:hRule="atLeast"/>
          <w:jc w:val="center"/>
        </w:trPr>
        <w:tc>
          <w:tcPr>
            <w:tcW w:w="9695"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1525AF6">
            <w:pPr>
              <w:jc w:val="left"/>
              <w:rPr>
                <w:rFonts w:hint="eastAsia" w:eastAsia="仿宋_GB2312"/>
                <w:b/>
                <w:snapToGrid w:val="0"/>
                <w:color w:val="000000"/>
                <w:kern w:val="0"/>
                <w:sz w:val="20"/>
                <w:szCs w:val="20"/>
              </w:rPr>
            </w:pPr>
            <w:r>
              <w:rPr>
                <w:rFonts w:hint="eastAsia" w:eastAsia="仿宋_GB2312"/>
                <w:b/>
                <w:snapToGrid w:val="0"/>
                <w:color w:val="000000"/>
                <w:kern w:val="0"/>
                <w:sz w:val="20"/>
                <w:szCs w:val="20"/>
              </w:rPr>
              <w:t>三、日常行为考核（40分）</w:t>
            </w:r>
          </w:p>
        </w:tc>
      </w:tr>
      <w:tr w14:paraId="444A0C3C">
        <w:tblPrEx>
          <w:tblCellMar>
            <w:top w:w="0" w:type="dxa"/>
            <w:left w:w="108" w:type="dxa"/>
            <w:bottom w:w="0" w:type="dxa"/>
            <w:right w:w="108" w:type="dxa"/>
          </w:tblCellMar>
        </w:tblPrEx>
        <w:trPr>
          <w:trHeight w:val="1226" w:hRule="atLeast"/>
          <w:jc w:val="center"/>
        </w:trPr>
        <w:tc>
          <w:tcPr>
            <w:tcW w:w="711"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8B7D5B6">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3.1</w:t>
            </w:r>
          </w:p>
        </w:tc>
        <w:tc>
          <w:tcPr>
            <w:tcW w:w="1557"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03B0008">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供餐质量</w:t>
            </w:r>
          </w:p>
          <w:p w14:paraId="3B72FDE7">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（10分）</w:t>
            </w:r>
          </w:p>
        </w:tc>
        <w:tc>
          <w:tcPr>
            <w:tcW w:w="7427"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69F95C8">
            <w:pPr>
              <w:rPr>
                <w:rFonts w:hint="eastAsia" w:eastAsia="仿宋_GB2312"/>
                <w:snapToGrid w:val="0"/>
                <w:color w:val="000000"/>
                <w:kern w:val="0"/>
                <w:sz w:val="20"/>
                <w:szCs w:val="20"/>
              </w:rPr>
            </w:pPr>
            <w:r>
              <w:rPr>
                <w:rFonts w:hint="eastAsia" w:eastAsia="仿宋_GB2312"/>
                <w:snapToGrid w:val="0"/>
                <w:color w:val="000000"/>
                <w:kern w:val="0"/>
                <w:sz w:val="20"/>
                <w:szCs w:val="20"/>
              </w:rPr>
              <w:t>该项指标主要考核供餐企业是否按照招标制定的供餐标准、食谱提供所需餐食，是否存在因加工、装卸、运输造成的食品污染，是否存在餐食感官性状异常等情形，是否当餐加工食品，餐食的温度和配送时间是否符合食品安全要求，餐具是否清洁卫生等。（此项建议由学校考核）</w:t>
            </w:r>
          </w:p>
        </w:tc>
      </w:tr>
      <w:tr w14:paraId="70CDCEC6">
        <w:tblPrEx>
          <w:tblCellMar>
            <w:top w:w="0" w:type="dxa"/>
            <w:left w:w="108" w:type="dxa"/>
            <w:bottom w:w="0" w:type="dxa"/>
            <w:right w:w="108" w:type="dxa"/>
          </w:tblCellMar>
        </w:tblPrEx>
        <w:trPr>
          <w:trHeight w:val="978" w:hRule="atLeast"/>
          <w:jc w:val="center"/>
        </w:trPr>
        <w:tc>
          <w:tcPr>
            <w:tcW w:w="711"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FE5E8CA">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3.2</w:t>
            </w:r>
          </w:p>
        </w:tc>
        <w:tc>
          <w:tcPr>
            <w:tcW w:w="1557"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4DFFA3E">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配送服务</w:t>
            </w:r>
          </w:p>
          <w:p w14:paraId="6914C42C">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（10分）</w:t>
            </w:r>
          </w:p>
        </w:tc>
        <w:tc>
          <w:tcPr>
            <w:tcW w:w="7427"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1B710FB">
            <w:pPr>
              <w:rPr>
                <w:rFonts w:hint="eastAsia" w:eastAsia="仿宋_GB2312"/>
                <w:snapToGrid w:val="0"/>
                <w:color w:val="000000"/>
                <w:kern w:val="0"/>
                <w:sz w:val="20"/>
                <w:szCs w:val="20"/>
              </w:rPr>
            </w:pPr>
            <w:r>
              <w:rPr>
                <w:rFonts w:hint="eastAsia" w:eastAsia="仿宋_GB2312"/>
                <w:snapToGrid w:val="0"/>
                <w:color w:val="000000"/>
                <w:kern w:val="0"/>
                <w:sz w:val="20"/>
                <w:szCs w:val="20"/>
              </w:rPr>
              <w:t>该项指标主要考核供餐企业是否使用约定运输车辆，运输车辆进出学校是否遵守学校安全规定，是否按时、按量提供餐食，是否影响师生正常就餐。（此项建议由学校考核）</w:t>
            </w:r>
          </w:p>
        </w:tc>
      </w:tr>
      <w:tr w14:paraId="61CC8A73">
        <w:tblPrEx>
          <w:tblCellMar>
            <w:top w:w="0" w:type="dxa"/>
            <w:left w:w="108" w:type="dxa"/>
            <w:bottom w:w="0" w:type="dxa"/>
            <w:right w:w="108" w:type="dxa"/>
          </w:tblCellMar>
        </w:tblPrEx>
        <w:trPr>
          <w:trHeight w:val="1116" w:hRule="atLeast"/>
          <w:jc w:val="center"/>
        </w:trPr>
        <w:tc>
          <w:tcPr>
            <w:tcW w:w="711"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4ABB4681">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3.3</w:t>
            </w:r>
          </w:p>
        </w:tc>
        <w:tc>
          <w:tcPr>
            <w:tcW w:w="1557"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74A44CA">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供餐企业行为（10分）</w:t>
            </w:r>
          </w:p>
        </w:tc>
        <w:tc>
          <w:tcPr>
            <w:tcW w:w="7427"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B869D23">
            <w:pPr>
              <w:rPr>
                <w:rFonts w:hint="eastAsia" w:eastAsia="仿宋_GB2312"/>
                <w:snapToGrid w:val="0"/>
                <w:color w:val="000000"/>
                <w:kern w:val="0"/>
                <w:sz w:val="20"/>
                <w:szCs w:val="20"/>
              </w:rPr>
            </w:pPr>
            <w:r>
              <w:rPr>
                <w:rFonts w:hint="eastAsia" w:eastAsia="仿宋_GB2312"/>
                <w:snapToGrid w:val="0"/>
                <w:color w:val="000000"/>
                <w:kern w:val="0"/>
                <w:sz w:val="20"/>
                <w:szCs w:val="20"/>
              </w:rPr>
              <w:t>该项指标主要考核供餐企业是否严格执行服务合同中确定的其他内容，是否存在向学校行贿或者提供其他不正当利益的其他违规行为，是否及时解决师生用餐过程中遇到的问题、妥善处理各类投诉，是否及时对质量不合格食品进行退货换货处理，以及采购人应当进行评价的其他内容。（此项建议由学校考核）</w:t>
            </w:r>
          </w:p>
        </w:tc>
      </w:tr>
      <w:tr w14:paraId="31758B92">
        <w:tblPrEx>
          <w:tblCellMar>
            <w:top w:w="0" w:type="dxa"/>
            <w:left w:w="108" w:type="dxa"/>
            <w:bottom w:w="0" w:type="dxa"/>
            <w:right w:w="108" w:type="dxa"/>
          </w:tblCellMar>
        </w:tblPrEx>
        <w:trPr>
          <w:trHeight w:val="777" w:hRule="atLeast"/>
          <w:jc w:val="center"/>
        </w:trPr>
        <w:tc>
          <w:tcPr>
            <w:tcW w:w="711"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7A5ED23">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3.4</w:t>
            </w:r>
          </w:p>
        </w:tc>
        <w:tc>
          <w:tcPr>
            <w:tcW w:w="1557"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22B9BEF7">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供餐价格</w:t>
            </w:r>
          </w:p>
          <w:p w14:paraId="38552835">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（10分）</w:t>
            </w:r>
          </w:p>
        </w:tc>
        <w:tc>
          <w:tcPr>
            <w:tcW w:w="7427"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2AB77E6">
            <w:pPr>
              <w:rPr>
                <w:rFonts w:hint="eastAsia" w:eastAsia="仿宋_GB2312"/>
                <w:snapToGrid w:val="0"/>
                <w:color w:val="000000"/>
                <w:kern w:val="0"/>
                <w:sz w:val="20"/>
                <w:szCs w:val="20"/>
              </w:rPr>
            </w:pPr>
            <w:r>
              <w:rPr>
                <w:rFonts w:hint="eastAsia" w:eastAsia="仿宋_GB2312"/>
                <w:snapToGrid w:val="0"/>
                <w:color w:val="000000"/>
                <w:kern w:val="0"/>
                <w:sz w:val="20"/>
                <w:szCs w:val="20"/>
              </w:rPr>
              <w:t>该指标主要考核供餐企业是否按照合同执行供餐价格，无乱收费现象。（此项建议由学校考核）</w:t>
            </w:r>
          </w:p>
        </w:tc>
      </w:tr>
      <w:tr w14:paraId="39A59891">
        <w:tblPrEx>
          <w:tblCellMar>
            <w:top w:w="0" w:type="dxa"/>
            <w:left w:w="108" w:type="dxa"/>
            <w:bottom w:w="0" w:type="dxa"/>
            <w:right w:w="108" w:type="dxa"/>
          </w:tblCellMar>
        </w:tblPrEx>
        <w:trPr>
          <w:trHeight w:val="454" w:hRule="atLeast"/>
          <w:jc w:val="center"/>
        </w:trPr>
        <w:tc>
          <w:tcPr>
            <w:tcW w:w="9695"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DC6CF20">
            <w:pPr>
              <w:jc w:val="left"/>
              <w:rPr>
                <w:rFonts w:hint="eastAsia" w:eastAsia="仿宋_GB2312"/>
                <w:b/>
                <w:snapToGrid w:val="0"/>
                <w:color w:val="000000"/>
                <w:kern w:val="0"/>
                <w:sz w:val="20"/>
                <w:szCs w:val="20"/>
              </w:rPr>
            </w:pPr>
            <w:r>
              <w:rPr>
                <w:rFonts w:hint="eastAsia" w:eastAsia="仿宋_GB2312"/>
                <w:b/>
                <w:snapToGrid w:val="0"/>
                <w:color w:val="000000"/>
                <w:kern w:val="0"/>
                <w:sz w:val="20"/>
                <w:szCs w:val="20"/>
              </w:rPr>
              <w:t>四、一票否决项</w:t>
            </w:r>
          </w:p>
        </w:tc>
      </w:tr>
      <w:tr w14:paraId="441DE5C5">
        <w:tblPrEx>
          <w:tblCellMar>
            <w:top w:w="0" w:type="dxa"/>
            <w:left w:w="108" w:type="dxa"/>
            <w:bottom w:w="0" w:type="dxa"/>
            <w:right w:w="108" w:type="dxa"/>
          </w:tblCellMar>
        </w:tblPrEx>
        <w:trPr>
          <w:trHeight w:val="454" w:hRule="atLeast"/>
          <w:jc w:val="center"/>
        </w:trPr>
        <w:tc>
          <w:tcPr>
            <w:tcW w:w="711" w:type="dxa"/>
            <w:tcBorders>
              <w:top w:val="single" w:color="000000" w:sz="4" w:space="0"/>
              <w:left w:val="single" w:color="000000" w:sz="4" w:space="0"/>
              <w:bottom w:val="single" w:color="000000" w:sz="4" w:space="0"/>
              <w:right w:val="nil"/>
            </w:tcBorders>
            <w:shd w:val="clear" w:color="auto" w:fill="auto"/>
            <w:noWrap w:val="0"/>
            <w:vAlign w:val="center"/>
          </w:tcPr>
          <w:p w14:paraId="2F8DB3AD">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4</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3E5885">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一票否决项</w:t>
            </w:r>
          </w:p>
          <w:p w14:paraId="4D0DE9EE">
            <w:pPr>
              <w:jc w:val="center"/>
              <w:rPr>
                <w:rFonts w:hint="eastAsia" w:eastAsia="仿宋_GB2312"/>
                <w:snapToGrid w:val="0"/>
                <w:color w:val="000000"/>
                <w:kern w:val="0"/>
                <w:sz w:val="20"/>
                <w:szCs w:val="20"/>
              </w:rPr>
            </w:pPr>
            <w:r>
              <w:rPr>
                <w:rFonts w:hint="eastAsia" w:eastAsia="仿宋_GB2312"/>
                <w:snapToGrid w:val="0"/>
                <w:color w:val="000000"/>
                <w:kern w:val="0"/>
                <w:sz w:val="20"/>
                <w:szCs w:val="20"/>
              </w:rPr>
              <w:t>内容</w:t>
            </w:r>
          </w:p>
        </w:tc>
        <w:tc>
          <w:tcPr>
            <w:tcW w:w="7427" w:type="dxa"/>
            <w:tcBorders>
              <w:top w:val="single" w:color="000000" w:sz="4" w:space="0"/>
              <w:left w:val="nil"/>
              <w:bottom w:val="single" w:color="000000" w:sz="4" w:space="0"/>
              <w:right w:val="single" w:color="000000" w:sz="4" w:space="0"/>
            </w:tcBorders>
            <w:shd w:val="clear" w:color="auto" w:fill="auto"/>
            <w:noWrap w:val="0"/>
            <w:vAlign w:val="center"/>
          </w:tcPr>
          <w:p w14:paraId="5A12E5DB">
            <w:pPr>
              <w:rPr>
                <w:rFonts w:hint="eastAsia" w:eastAsia="仿宋_GB2312"/>
                <w:snapToGrid w:val="0"/>
                <w:color w:val="000000"/>
                <w:kern w:val="0"/>
                <w:sz w:val="20"/>
                <w:szCs w:val="20"/>
              </w:rPr>
            </w:pPr>
            <w:r>
              <w:rPr>
                <w:rFonts w:hint="eastAsia" w:eastAsia="仿宋_GB2312"/>
                <w:snapToGrid w:val="0"/>
                <w:color w:val="000000"/>
                <w:kern w:val="0"/>
                <w:sz w:val="20"/>
                <w:szCs w:val="20"/>
              </w:rPr>
              <w:t>1.通过提供虚假材料、围标串标等非法手段谋取中标、成交的。</w:t>
            </w:r>
          </w:p>
          <w:p w14:paraId="5289B7B2">
            <w:pPr>
              <w:rPr>
                <w:rFonts w:hint="eastAsia" w:eastAsia="仿宋_GB2312"/>
                <w:snapToGrid w:val="0"/>
                <w:color w:val="000000"/>
                <w:kern w:val="0"/>
                <w:sz w:val="20"/>
                <w:szCs w:val="20"/>
              </w:rPr>
            </w:pPr>
            <w:r>
              <w:rPr>
                <w:rFonts w:hint="eastAsia" w:eastAsia="仿宋_GB2312"/>
                <w:snapToGrid w:val="0"/>
                <w:color w:val="000000"/>
                <w:kern w:val="0"/>
                <w:sz w:val="20"/>
                <w:szCs w:val="20"/>
              </w:rPr>
              <w:t>2.未按规定签订或者无正当理由拒绝签订采购合同，或擅自更换履约人，或对项目进行转包、违法分包的。</w:t>
            </w:r>
          </w:p>
          <w:p w14:paraId="19474C3C">
            <w:pPr>
              <w:rPr>
                <w:rFonts w:hint="eastAsia" w:eastAsia="仿宋_GB2312"/>
                <w:snapToGrid w:val="0"/>
                <w:color w:val="000000"/>
                <w:kern w:val="0"/>
                <w:sz w:val="20"/>
                <w:szCs w:val="20"/>
              </w:rPr>
            </w:pPr>
            <w:r>
              <w:rPr>
                <w:rFonts w:hint="eastAsia" w:eastAsia="仿宋_GB2312"/>
                <w:snapToGrid w:val="0"/>
                <w:color w:val="000000"/>
                <w:kern w:val="0"/>
                <w:sz w:val="20"/>
                <w:szCs w:val="20"/>
              </w:rPr>
              <w:t>3.不履行或不当履行合同义务，造成学校经济损失，经约谈后拒不整改或无实质性改善的。</w:t>
            </w:r>
          </w:p>
          <w:p w14:paraId="67CD6259">
            <w:pPr>
              <w:rPr>
                <w:rFonts w:hint="eastAsia" w:eastAsia="仿宋_GB2312"/>
                <w:snapToGrid w:val="0"/>
                <w:color w:val="000000"/>
                <w:kern w:val="0"/>
                <w:sz w:val="20"/>
                <w:szCs w:val="20"/>
              </w:rPr>
            </w:pPr>
            <w:r>
              <w:rPr>
                <w:rFonts w:hint="eastAsia" w:eastAsia="仿宋_GB2312"/>
                <w:snapToGrid w:val="0"/>
                <w:color w:val="000000"/>
                <w:kern w:val="0"/>
                <w:sz w:val="20"/>
                <w:szCs w:val="20"/>
              </w:rPr>
              <w:t>4.经营明知不符合食品安全标准的食品的。</w:t>
            </w:r>
          </w:p>
          <w:p w14:paraId="09E3D53F">
            <w:pPr>
              <w:rPr>
                <w:rFonts w:hint="eastAsia" w:eastAsia="仿宋_GB2312"/>
                <w:snapToGrid w:val="0"/>
                <w:color w:val="000000"/>
                <w:kern w:val="0"/>
                <w:sz w:val="20"/>
                <w:szCs w:val="20"/>
              </w:rPr>
            </w:pPr>
            <w:r>
              <w:rPr>
                <w:rFonts w:hint="eastAsia" w:eastAsia="仿宋_GB2312"/>
                <w:snapToGrid w:val="0"/>
                <w:color w:val="000000"/>
                <w:kern w:val="0"/>
                <w:sz w:val="20"/>
                <w:szCs w:val="20"/>
              </w:rPr>
              <w:t>5.擅自变更、中止或者终止采购合同的。</w:t>
            </w:r>
          </w:p>
          <w:p w14:paraId="13FC28C3">
            <w:pPr>
              <w:rPr>
                <w:rFonts w:hint="eastAsia" w:eastAsia="仿宋_GB2312"/>
                <w:snapToGrid w:val="0"/>
                <w:color w:val="000000"/>
                <w:kern w:val="0"/>
                <w:sz w:val="20"/>
                <w:szCs w:val="20"/>
              </w:rPr>
            </w:pPr>
            <w:r>
              <w:rPr>
                <w:rFonts w:hint="eastAsia" w:eastAsia="仿宋_GB2312"/>
                <w:snapToGrid w:val="0"/>
                <w:color w:val="000000"/>
                <w:kern w:val="0"/>
                <w:sz w:val="20"/>
                <w:szCs w:val="20"/>
              </w:rPr>
              <w:t>6.因企业自身原因，未经协商单方面断供，并造成恶劣影响及严重后果的。</w:t>
            </w:r>
          </w:p>
          <w:p w14:paraId="330FEDA4">
            <w:pPr>
              <w:rPr>
                <w:rFonts w:hint="eastAsia" w:eastAsia="仿宋_GB2312"/>
                <w:snapToGrid w:val="0"/>
                <w:color w:val="000000"/>
                <w:kern w:val="0"/>
                <w:sz w:val="20"/>
                <w:szCs w:val="20"/>
              </w:rPr>
            </w:pPr>
            <w:r>
              <w:rPr>
                <w:rFonts w:hint="eastAsia" w:eastAsia="仿宋_GB2312"/>
                <w:snapToGrid w:val="0"/>
                <w:color w:val="000000"/>
                <w:kern w:val="0"/>
                <w:sz w:val="20"/>
                <w:szCs w:val="20"/>
              </w:rPr>
              <w:t>7.拒绝依法依规实施的监督检查或者在监督检查中提供虚假情况的。</w:t>
            </w:r>
          </w:p>
          <w:p w14:paraId="70E71303">
            <w:pPr>
              <w:rPr>
                <w:rFonts w:hint="eastAsia" w:eastAsia="仿宋_GB2312"/>
                <w:snapToGrid w:val="0"/>
                <w:color w:val="000000"/>
                <w:kern w:val="0"/>
                <w:sz w:val="20"/>
                <w:szCs w:val="20"/>
              </w:rPr>
            </w:pPr>
            <w:r>
              <w:rPr>
                <w:rFonts w:hint="eastAsia" w:eastAsia="仿宋_GB2312"/>
                <w:snapToGrid w:val="0"/>
                <w:color w:val="000000"/>
                <w:kern w:val="0"/>
                <w:sz w:val="20"/>
                <w:szCs w:val="20"/>
              </w:rPr>
              <w:t>8.存在财务造假、重大财会违规等问题的。</w:t>
            </w:r>
          </w:p>
          <w:p w14:paraId="59DA3739">
            <w:pPr>
              <w:rPr>
                <w:rFonts w:hint="eastAsia" w:eastAsia="仿宋_GB2312"/>
                <w:snapToGrid w:val="0"/>
                <w:color w:val="000000"/>
                <w:kern w:val="0"/>
                <w:sz w:val="20"/>
                <w:szCs w:val="20"/>
              </w:rPr>
            </w:pPr>
            <w:r>
              <w:rPr>
                <w:rFonts w:hint="eastAsia" w:eastAsia="仿宋_GB2312"/>
                <w:snapToGrid w:val="0"/>
                <w:color w:val="000000"/>
                <w:kern w:val="0"/>
                <w:sz w:val="20"/>
                <w:szCs w:val="20"/>
              </w:rPr>
              <w:t>9.被列入严重违法失信名单或食品安全信用等级评定为严重失信的。</w:t>
            </w:r>
          </w:p>
          <w:p w14:paraId="61E62D0F">
            <w:pPr>
              <w:rPr>
                <w:rFonts w:hint="eastAsia" w:eastAsia="仿宋_GB2312"/>
                <w:snapToGrid w:val="0"/>
                <w:color w:val="000000"/>
                <w:kern w:val="0"/>
                <w:sz w:val="20"/>
                <w:szCs w:val="20"/>
              </w:rPr>
            </w:pPr>
            <w:r>
              <w:rPr>
                <w:rFonts w:hint="eastAsia" w:eastAsia="仿宋_GB2312"/>
                <w:snapToGrid w:val="0"/>
                <w:color w:val="000000"/>
                <w:kern w:val="0"/>
                <w:sz w:val="20"/>
                <w:szCs w:val="20"/>
              </w:rPr>
              <w:t>10.违反食品安全法律法规，被市场监管部门吊销食品经营许可证的，或违反相关法律法规，被登记机关吊销营业执照的。</w:t>
            </w:r>
          </w:p>
          <w:p w14:paraId="5807A153">
            <w:pPr>
              <w:rPr>
                <w:rFonts w:hint="eastAsia" w:eastAsia="仿宋_GB2312"/>
                <w:snapToGrid w:val="0"/>
                <w:color w:val="000000"/>
                <w:kern w:val="0"/>
                <w:sz w:val="20"/>
                <w:szCs w:val="20"/>
              </w:rPr>
            </w:pPr>
            <w:r>
              <w:rPr>
                <w:rFonts w:hint="eastAsia" w:eastAsia="仿宋_GB2312"/>
                <w:snapToGrid w:val="0"/>
                <w:color w:val="000000"/>
                <w:kern w:val="0"/>
                <w:sz w:val="20"/>
                <w:szCs w:val="20"/>
              </w:rPr>
              <w:t>11.服务期内因供应的餐食直接引发食品安全责任事故或查实敏感及以上食品安全负面舆情事件。</w:t>
            </w:r>
          </w:p>
          <w:p w14:paraId="7ADE4A1C">
            <w:pPr>
              <w:rPr>
                <w:rFonts w:hint="eastAsia" w:eastAsia="仿宋_GB2312"/>
                <w:snapToGrid w:val="0"/>
                <w:color w:val="000000"/>
                <w:kern w:val="0"/>
                <w:sz w:val="20"/>
                <w:szCs w:val="20"/>
              </w:rPr>
            </w:pPr>
            <w:r>
              <w:rPr>
                <w:rFonts w:hint="eastAsia" w:eastAsia="仿宋_GB2312"/>
                <w:snapToGrid w:val="0"/>
                <w:color w:val="000000"/>
                <w:kern w:val="0"/>
                <w:sz w:val="20"/>
                <w:szCs w:val="20"/>
              </w:rPr>
              <w:t>12.为实施农村义务教育学生营养改善计划学校供餐的校外供餐企业违反《农村义务教育学生营养改善计划实施办法》相关规定的。</w:t>
            </w:r>
          </w:p>
          <w:p w14:paraId="03F9E2BB">
            <w:pPr>
              <w:rPr>
                <w:rFonts w:hint="eastAsia" w:eastAsia="仿宋_GB2312"/>
                <w:snapToGrid w:val="0"/>
                <w:color w:val="000000"/>
                <w:kern w:val="0"/>
                <w:sz w:val="20"/>
                <w:szCs w:val="20"/>
              </w:rPr>
            </w:pPr>
            <w:r>
              <w:rPr>
                <w:rFonts w:hint="eastAsia" w:eastAsia="仿宋_GB2312"/>
                <w:snapToGrid w:val="0"/>
                <w:color w:val="000000"/>
                <w:kern w:val="0"/>
                <w:sz w:val="20"/>
                <w:szCs w:val="20"/>
              </w:rPr>
              <w:t>（此项建议由采购人组织考核，可结合实际完善指标）</w:t>
            </w:r>
          </w:p>
        </w:tc>
      </w:tr>
    </w:tbl>
    <w:p w14:paraId="6B3BE3EF">
      <w:pPr>
        <w:rPr>
          <w:rFonts w:hint="eastAsia" w:eastAsia="仿宋_GB2312"/>
          <w:snapToGrid w:val="0"/>
          <w:color w:val="000000"/>
          <w:kern w:val="0"/>
          <w:sz w:val="20"/>
          <w:szCs w:val="20"/>
        </w:rPr>
      </w:pPr>
      <w:r>
        <w:rPr>
          <w:rFonts w:hint="eastAsia" w:eastAsia="仿宋_GB2312"/>
          <w:snapToGrid w:val="0"/>
          <w:color w:val="000000"/>
          <w:kern w:val="0"/>
          <w:sz w:val="20"/>
          <w:szCs w:val="20"/>
        </w:rPr>
        <w:t>注：评价工作要点供参考，采购人根据实际情况调整，完善细化。鼓励采用百分制计分，建议日常行为评价分值不低于40分，评价总分值低于70分为不合格。涉及“一票否决项内容”直接评价为不合格。</w:t>
      </w:r>
    </w:p>
    <w:p w14:paraId="1BD55643">
      <w:pPr>
        <w:spacing w:line="600" w:lineRule="exact"/>
        <w:rPr>
          <w:rFonts w:eastAsia="仿宋_GB2312"/>
        </w:rPr>
      </w:pPr>
    </w:p>
    <w:p w14:paraId="7454E597">
      <w:pPr>
        <w:spacing w:line="600" w:lineRule="exact"/>
        <w:rPr>
          <w:rFonts w:eastAsia="仿宋_GB2312"/>
        </w:rPr>
      </w:pPr>
    </w:p>
    <w:p w14:paraId="17816342">
      <w:pPr>
        <w:spacing w:line="600" w:lineRule="exact"/>
        <w:rPr>
          <w:rFonts w:hint="eastAsia" w:eastAsia="仿宋_GB2312"/>
        </w:rPr>
      </w:pPr>
    </w:p>
    <w:p w14:paraId="7A124400">
      <w:pPr>
        <w:spacing w:line="600" w:lineRule="exact"/>
        <w:rPr>
          <w:rFonts w:hint="eastAsia" w:eastAsia="仿宋_GB2312"/>
        </w:rPr>
      </w:pPr>
    </w:p>
    <w:p w14:paraId="784499A5">
      <w:pPr>
        <w:spacing w:line="600" w:lineRule="exact"/>
        <w:rPr>
          <w:rFonts w:eastAsia="仿宋_GB2312"/>
        </w:rPr>
      </w:pPr>
    </w:p>
    <w:p w14:paraId="5822848B">
      <w:pPr>
        <w:spacing w:line="600" w:lineRule="exact"/>
        <w:rPr>
          <w:rFonts w:eastAsia="仿宋_GB2312"/>
        </w:rPr>
      </w:pPr>
    </w:p>
    <w:p w14:paraId="35B4B786">
      <w:pPr>
        <w:spacing w:line="600" w:lineRule="exact"/>
        <w:rPr>
          <w:rFonts w:eastAsia="仿宋_GB2312"/>
        </w:rPr>
      </w:pPr>
    </w:p>
    <w:p w14:paraId="060542EB">
      <w:pPr>
        <w:spacing w:line="360" w:lineRule="auto"/>
        <w:rPr>
          <w:rFonts w:eastAsia="仿宋_GB2312"/>
        </w:rPr>
      </w:pPr>
    </w:p>
    <w:p w14:paraId="4ED286A8">
      <w:pPr>
        <w:tabs>
          <w:tab w:val="left" w:pos="7175"/>
        </w:tabs>
        <w:spacing w:line="660" w:lineRule="exact"/>
        <w:jc w:val="left"/>
        <w:rPr>
          <w:rFonts w:eastAsia="仿宋_GB2312"/>
        </w:rPr>
      </w:pPr>
    </w:p>
    <w:p w14:paraId="5F7C9138">
      <w:pPr>
        <w:rPr>
          <w:rFonts w:eastAsia="仿宋_GB2312"/>
        </w:rPr>
      </w:pPr>
    </w:p>
    <w:p w14:paraId="5630D454">
      <w:pPr>
        <w:rPr>
          <w:rFonts w:hint="eastAsia" w:eastAsia="仿宋_GB2312"/>
        </w:rPr>
      </w:pPr>
    </w:p>
    <w:sectPr>
      <w:footerReference r:id="rId5" w:type="default"/>
      <w:pgSz w:w="11906" w:h="16838"/>
      <w:pgMar w:top="2098" w:right="1474" w:bottom="1984" w:left="1587" w:header="1701" w:footer="1587" w:gutter="0"/>
      <w:cols w:space="1701" w:num="1"/>
      <w:docGrid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B9390">
    <w:pPr>
      <w:pStyle w:val="17"/>
      <w:snapToGrid w:val="0"/>
      <w:jc w:val="left"/>
      <w:rPr>
        <w:rFonts w:ascii="宋体" w:hAnsi="宋体"/>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4F650">
    <w:pPr>
      <w:pStyle w:val="227"/>
      <w:framePr w:wrap="around" w:vAnchor="text" w:hAnchor="margin" w:xAlign="outside" w:y="1"/>
      <w:ind w:left="320" w:leftChars="100"/>
      <w:rPr>
        <w:rStyle w:val="233"/>
        <w:rFonts w:ascii="宋体" w:hAnsi="宋体"/>
        <w:sz w:val="28"/>
        <w:szCs w:val="28"/>
      </w:rPr>
    </w:pPr>
    <w:r>
      <w:rPr>
        <w:rStyle w:val="233"/>
        <w:rFonts w:hint="eastAsia" w:ascii="宋体" w:hAnsi="宋体"/>
        <w:sz w:val="28"/>
        <w:szCs w:val="28"/>
      </w:rPr>
      <w:t xml:space="preserve">— </w:t>
    </w:r>
    <w:r>
      <w:rPr>
        <w:rStyle w:val="233"/>
        <w:rFonts w:ascii="宋体" w:hAnsi="宋体"/>
        <w:sz w:val="28"/>
        <w:szCs w:val="28"/>
      </w:rPr>
      <w:fldChar w:fldCharType="begin"/>
    </w:r>
    <w:r>
      <w:rPr>
        <w:rStyle w:val="233"/>
        <w:rFonts w:ascii="宋体" w:hAnsi="宋体"/>
        <w:sz w:val="28"/>
        <w:szCs w:val="28"/>
      </w:rPr>
      <w:instrText xml:space="preserve">PAGE  </w:instrText>
    </w:r>
    <w:r>
      <w:rPr>
        <w:rStyle w:val="233"/>
        <w:rFonts w:ascii="宋体" w:hAnsi="宋体"/>
        <w:sz w:val="28"/>
        <w:szCs w:val="28"/>
      </w:rPr>
      <w:fldChar w:fldCharType="separate"/>
    </w:r>
    <w:r>
      <w:rPr>
        <w:rStyle w:val="233"/>
        <w:rFonts w:ascii="宋体" w:hAnsi="宋体"/>
        <w:sz w:val="28"/>
        <w:szCs w:val="28"/>
      </w:rPr>
      <w:t>2</w:t>
    </w:r>
    <w:r>
      <w:rPr>
        <w:rStyle w:val="233"/>
        <w:rFonts w:ascii="宋体" w:hAnsi="宋体"/>
        <w:sz w:val="28"/>
        <w:szCs w:val="28"/>
      </w:rPr>
      <w:fldChar w:fldCharType="end"/>
    </w:r>
    <w:r>
      <w:rPr>
        <w:rStyle w:val="233"/>
        <w:rFonts w:hint="eastAsia" w:ascii="宋体" w:hAnsi="宋体"/>
        <w:sz w:val="28"/>
        <w:szCs w:val="28"/>
      </w:rPr>
      <w:t xml:space="preserve"> —</w:t>
    </w:r>
  </w:p>
  <w:p w14:paraId="709703AF">
    <w:pPr>
      <w:pStyle w:val="227"/>
      <w:rPr>
        <w:rFonts w:ascii="宋体" w:hAnsi="宋体"/>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2F9A6">
    <w:pPr>
      <w:pStyle w:val="227"/>
      <w:framePr w:wrap="around" w:vAnchor="text" w:hAnchor="margin" w:xAlign="outside" w:y="1"/>
      <w:ind w:right="320" w:rightChars="100"/>
      <w:rPr>
        <w:rStyle w:val="233"/>
        <w:rFonts w:ascii="宋体" w:hAnsi="宋体"/>
        <w:sz w:val="28"/>
        <w:szCs w:val="28"/>
      </w:rPr>
    </w:pPr>
    <w:r>
      <w:rPr>
        <w:rStyle w:val="233"/>
        <w:rFonts w:hint="eastAsia" w:ascii="宋体" w:hAnsi="宋体"/>
        <w:sz w:val="28"/>
        <w:szCs w:val="28"/>
      </w:rPr>
      <w:t xml:space="preserve">— </w:t>
    </w:r>
    <w:r>
      <w:rPr>
        <w:rStyle w:val="233"/>
        <w:rFonts w:ascii="宋体" w:hAnsi="宋体"/>
        <w:sz w:val="28"/>
        <w:szCs w:val="28"/>
      </w:rPr>
      <w:fldChar w:fldCharType="begin"/>
    </w:r>
    <w:r>
      <w:rPr>
        <w:rStyle w:val="233"/>
        <w:rFonts w:ascii="宋体" w:hAnsi="宋体"/>
        <w:sz w:val="28"/>
        <w:szCs w:val="28"/>
      </w:rPr>
      <w:instrText xml:space="preserve">PAGE  </w:instrText>
    </w:r>
    <w:r>
      <w:rPr>
        <w:rStyle w:val="233"/>
        <w:rFonts w:ascii="宋体" w:hAnsi="宋体"/>
        <w:sz w:val="28"/>
        <w:szCs w:val="28"/>
      </w:rPr>
      <w:fldChar w:fldCharType="separate"/>
    </w:r>
    <w:r>
      <w:rPr>
        <w:rStyle w:val="233"/>
        <w:rFonts w:ascii="宋体" w:hAnsi="宋体"/>
        <w:sz w:val="28"/>
        <w:szCs w:val="28"/>
      </w:rPr>
      <w:t>7</w:t>
    </w:r>
    <w:r>
      <w:rPr>
        <w:rStyle w:val="233"/>
        <w:rFonts w:ascii="宋体" w:hAnsi="宋体"/>
        <w:sz w:val="28"/>
        <w:szCs w:val="28"/>
      </w:rPr>
      <w:fldChar w:fldCharType="end"/>
    </w:r>
    <w:r>
      <w:rPr>
        <w:rStyle w:val="233"/>
        <w:rFonts w:hint="eastAsia" w:ascii="宋体" w:hAnsi="宋体"/>
        <w:sz w:val="28"/>
        <w:szCs w:val="28"/>
      </w:rPr>
      <w:t xml:space="preserve"> —</w:t>
    </w:r>
  </w:p>
  <w:p w14:paraId="3A8C8BC3">
    <w:pPr>
      <w:pStyle w:val="227"/>
      <w:ind w:right="567" w:firstLine="35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revisionView w:markup="0"/>
  <w:documentProtection w:enforcement="0"/>
  <w:defaultTabStop w:val="420"/>
  <w:evenAndOddHeaders w:val="1"/>
  <w:drawingGridHorizontalSpacing w:val="0"/>
  <w:drawingGridVerticalSpacing w:val="435"/>
  <w:displayHorizontalDrawingGridEvery w:val="0"/>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7FDFAD9"/>
    <w:rsid w:val="3D6202C5"/>
    <w:rsid w:val="71C305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Times New Roman" w:hAnsi="Times New Roman" w:eastAsia="宋体" w:cs="Times New Roman"/>
      <w:kern w:val="2"/>
      <w:sz w:val="32"/>
      <w:szCs w:val="32"/>
    </w:rPr>
  </w:style>
  <w:style w:type="paragraph" w:styleId="2">
    <w:name w:val="heading 1"/>
    <w:basedOn w:val="1"/>
    <w:next w:val="1"/>
    <w:link w:val="73"/>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1"/>
    <w:link w:val="74"/>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link w:val="75"/>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link w:val="76"/>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link w:val="77"/>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link w:val="78"/>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link w:val="79"/>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link w:val="80"/>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link w:val="81"/>
    <w:unhideWhenUsed/>
    <w:qFormat/>
    <w:uiPriority w:val="9"/>
    <w:pPr>
      <w:keepNext/>
      <w:keepLines/>
      <w:spacing w:before="320" w:after="200"/>
      <w:outlineLvl w:val="8"/>
    </w:pPr>
    <w:rPr>
      <w:rFonts w:ascii="Arial" w:hAnsi="Arial" w:eastAsia="Arial" w:cs="Arial"/>
      <w:i/>
      <w:iCs/>
      <w:sz w:val="21"/>
      <w:szCs w:val="21"/>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pPr>
  </w:style>
  <w:style w:type="paragraph" w:styleId="12">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3">
    <w:name w:val="toc 5"/>
    <w:basedOn w:val="1"/>
    <w:next w:val="1"/>
    <w:unhideWhenUsed/>
    <w:qFormat/>
    <w:uiPriority w:val="39"/>
    <w:pPr>
      <w:spacing w:after="57"/>
      <w:ind w:left="1134"/>
    </w:pPr>
  </w:style>
  <w:style w:type="paragraph" w:styleId="14">
    <w:name w:val="toc 3"/>
    <w:basedOn w:val="1"/>
    <w:next w:val="1"/>
    <w:unhideWhenUsed/>
    <w:qFormat/>
    <w:uiPriority w:val="39"/>
    <w:pPr>
      <w:spacing w:after="57"/>
      <w:ind w:left="567"/>
    </w:pPr>
  </w:style>
  <w:style w:type="paragraph" w:styleId="15">
    <w:name w:val="toc 8"/>
    <w:basedOn w:val="1"/>
    <w:next w:val="1"/>
    <w:unhideWhenUsed/>
    <w:qFormat/>
    <w:uiPriority w:val="39"/>
    <w:pPr>
      <w:spacing w:after="57"/>
      <w:ind w:left="1984"/>
    </w:pPr>
  </w:style>
  <w:style w:type="paragraph" w:styleId="16">
    <w:name w:val="endnote text"/>
    <w:basedOn w:val="1"/>
    <w:link w:val="219"/>
    <w:semiHidden/>
    <w:unhideWhenUsed/>
    <w:qFormat/>
    <w:uiPriority w:val="99"/>
    <w:rPr>
      <w:sz w:val="20"/>
    </w:rPr>
  </w:style>
  <w:style w:type="paragraph" w:styleId="17">
    <w:name w:val="footer"/>
    <w:basedOn w:val="1"/>
    <w:link w:val="92"/>
    <w:unhideWhenUsed/>
    <w:qFormat/>
    <w:uiPriority w:val="99"/>
    <w:pPr>
      <w:tabs>
        <w:tab w:val="center" w:pos="7143"/>
        <w:tab w:val="right" w:pos="14287"/>
      </w:tabs>
    </w:pPr>
  </w:style>
  <w:style w:type="paragraph" w:styleId="18">
    <w:name w:val="header"/>
    <w:basedOn w:val="1"/>
    <w:link w:val="90"/>
    <w:unhideWhenUsed/>
    <w:qFormat/>
    <w:uiPriority w:val="99"/>
    <w:pPr>
      <w:tabs>
        <w:tab w:val="center" w:pos="7143"/>
        <w:tab w:val="right" w:pos="14287"/>
      </w:tabs>
    </w:pPr>
  </w:style>
  <w:style w:type="paragraph" w:styleId="19">
    <w:name w:val="toc 1"/>
    <w:basedOn w:val="1"/>
    <w:next w:val="1"/>
    <w:unhideWhenUsed/>
    <w:qFormat/>
    <w:uiPriority w:val="39"/>
    <w:pPr>
      <w:spacing w:after="57"/>
    </w:pPr>
  </w:style>
  <w:style w:type="paragraph" w:styleId="20">
    <w:name w:val="toc 4"/>
    <w:basedOn w:val="1"/>
    <w:next w:val="1"/>
    <w:unhideWhenUsed/>
    <w:qFormat/>
    <w:uiPriority w:val="39"/>
    <w:pPr>
      <w:spacing w:after="57"/>
      <w:ind w:left="850"/>
    </w:pPr>
  </w:style>
  <w:style w:type="paragraph" w:styleId="21">
    <w:name w:val="Subtitle"/>
    <w:basedOn w:val="1"/>
    <w:next w:val="1"/>
    <w:link w:val="85"/>
    <w:qFormat/>
    <w:uiPriority w:val="11"/>
    <w:pPr>
      <w:spacing w:before="200" w:after="200"/>
    </w:pPr>
    <w:rPr>
      <w:sz w:val="24"/>
      <w:szCs w:val="24"/>
    </w:rPr>
  </w:style>
  <w:style w:type="paragraph" w:styleId="22">
    <w:name w:val="footnote text"/>
    <w:basedOn w:val="1"/>
    <w:link w:val="218"/>
    <w:semiHidden/>
    <w:unhideWhenUsed/>
    <w:qFormat/>
    <w:uiPriority w:val="99"/>
    <w:pPr>
      <w:spacing w:after="40"/>
    </w:pPr>
    <w:rPr>
      <w:sz w:val="18"/>
    </w:rPr>
  </w:style>
  <w:style w:type="paragraph" w:styleId="23">
    <w:name w:val="toc 6"/>
    <w:basedOn w:val="1"/>
    <w:next w:val="1"/>
    <w:unhideWhenUsed/>
    <w:qFormat/>
    <w:uiPriority w:val="39"/>
    <w:pPr>
      <w:spacing w:after="57"/>
      <w:ind w:left="1417"/>
    </w:pPr>
  </w:style>
  <w:style w:type="paragraph" w:styleId="24">
    <w:name w:val="table of figures"/>
    <w:basedOn w:val="1"/>
    <w:next w:val="1"/>
    <w:unhideWhenUsed/>
    <w:qFormat/>
    <w:uiPriority w:val="99"/>
  </w:style>
  <w:style w:type="paragraph" w:styleId="25">
    <w:name w:val="toc 2"/>
    <w:basedOn w:val="1"/>
    <w:next w:val="1"/>
    <w:unhideWhenUsed/>
    <w:qFormat/>
    <w:uiPriority w:val="39"/>
    <w:pPr>
      <w:spacing w:after="57"/>
      <w:ind w:left="283"/>
    </w:pPr>
  </w:style>
  <w:style w:type="paragraph" w:styleId="26">
    <w:name w:val="toc 9"/>
    <w:basedOn w:val="1"/>
    <w:next w:val="1"/>
    <w:unhideWhenUsed/>
    <w:qFormat/>
    <w:uiPriority w:val="39"/>
    <w:pPr>
      <w:spacing w:after="57"/>
      <w:ind w:left="2268"/>
    </w:pPr>
  </w:style>
  <w:style w:type="paragraph" w:styleId="27">
    <w:name w:val="Title"/>
    <w:basedOn w:val="1"/>
    <w:next w:val="1"/>
    <w:link w:val="84"/>
    <w:qFormat/>
    <w:uiPriority w:val="10"/>
    <w:pPr>
      <w:spacing w:before="300" w:after="200"/>
      <w:contextualSpacing/>
    </w:pPr>
    <w:rPr>
      <w:sz w:val="48"/>
      <w:szCs w:val="48"/>
    </w:rPr>
  </w:style>
  <w:style w:type="table" w:styleId="29">
    <w:name w:val="Table Grid"/>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1">
    <w:name w:val="endnote reference"/>
    <w:semiHidden/>
    <w:unhideWhenUsed/>
    <w:qFormat/>
    <w:uiPriority w:val="99"/>
    <w:rPr>
      <w:vertAlign w:val="superscript"/>
    </w:rPr>
  </w:style>
  <w:style w:type="character" w:styleId="32">
    <w:name w:val="Hyperlink"/>
    <w:unhideWhenUsed/>
    <w:qFormat/>
    <w:uiPriority w:val="99"/>
    <w:rPr>
      <w:color w:val="0000FF" w:themeColor="hyperlink"/>
      <w:u w:val="single"/>
      <w14:textFill>
        <w14:solidFill>
          <w14:schemeClr w14:val="hlink"/>
        </w14:solidFill>
      </w14:textFill>
    </w:rPr>
  </w:style>
  <w:style w:type="character" w:styleId="33">
    <w:name w:val="footnote reference"/>
    <w:unhideWhenUsed/>
    <w:qFormat/>
    <w:uiPriority w:val="99"/>
    <w:rPr>
      <w:vertAlign w:val="superscript"/>
    </w:rPr>
  </w:style>
  <w:style w:type="paragraph" w:customStyle="1" w:styleId="34">
    <w:name w:val="TOC Heading"/>
    <w:unhideWhenUsed/>
    <w:qFormat/>
    <w:uiPriority w:val="39"/>
    <w:rPr>
      <w:rFonts w:hint="default" w:ascii="Times New Roman" w:hAnsi="Times New Roman" w:eastAsia="宋体" w:cs="Times New Roman"/>
    </w:rPr>
  </w:style>
  <w:style w:type="paragraph" w:customStyle="1" w:styleId="35">
    <w:name w:val="正文文本1"/>
    <w:basedOn w:val="1"/>
    <w:qFormat/>
    <w:uiPriority w:val="0"/>
    <w:pPr>
      <w:spacing w:after="120"/>
    </w:pPr>
    <w:rPr>
      <w:kern w:val="0"/>
      <w:sz w:val="20"/>
    </w:rPr>
  </w:style>
  <w:style w:type="character" w:customStyle="1" w:styleId="36">
    <w:name w:val="Heading 1 Char"/>
    <w:basedOn w:val="30"/>
    <w:qFormat/>
    <w:uiPriority w:val="9"/>
    <w:rPr>
      <w:rFonts w:ascii="Arial" w:hAnsi="Arial" w:eastAsia="Arial" w:cs="Arial"/>
      <w:sz w:val="40"/>
      <w:szCs w:val="40"/>
    </w:rPr>
  </w:style>
  <w:style w:type="character" w:customStyle="1" w:styleId="37">
    <w:name w:val="Heading 2 Char"/>
    <w:basedOn w:val="30"/>
    <w:qFormat/>
    <w:uiPriority w:val="9"/>
    <w:rPr>
      <w:rFonts w:ascii="Arial" w:hAnsi="Arial" w:eastAsia="Arial" w:cs="Arial"/>
      <w:sz w:val="34"/>
    </w:rPr>
  </w:style>
  <w:style w:type="character" w:customStyle="1" w:styleId="38">
    <w:name w:val="Heading 3 Char"/>
    <w:basedOn w:val="30"/>
    <w:qFormat/>
    <w:uiPriority w:val="9"/>
    <w:rPr>
      <w:rFonts w:ascii="Arial" w:hAnsi="Arial" w:eastAsia="Arial" w:cs="Arial"/>
      <w:sz w:val="30"/>
      <w:szCs w:val="30"/>
    </w:rPr>
  </w:style>
  <w:style w:type="character" w:customStyle="1" w:styleId="39">
    <w:name w:val="Heading 4 Char"/>
    <w:basedOn w:val="30"/>
    <w:qFormat/>
    <w:uiPriority w:val="9"/>
    <w:rPr>
      <w:rFonts w:ascii="Arial" w:hAnsi="Arial" w:eastAsia="Arial" w:cs="Arial"/>
      <w:b/>
      <w:bCs/>
      <w:sz w:val="26"/>
      <w:szCs w:val="26"/>
    </w:rPr>
  </w:style>
  <w:style w:type="character" w:customStyle="1" w:styleId="40">
    <w:name w:val="Heading 5 Char"/>
    <w:basedOn w:val="30"/>
    <w:qFormat/>
    <w:uiPriority w:val="9"/>
    <w:rPr>
      <w:rFonts w:ascii="Arial" w:hAnsi="Arial" w:eastAsia="Arial" w:cs="Arial"/>
      <w:b/>
      <w:bCs/>
      <w:sz w:val="24"/>
      <w:szCs w:val="24"/>
    </w:rPr>
  </w:style>
  <w:style w:type="character" w:customStyle="1" w:styleId="41">
    <w:name w:val="Heading 6 Char"/>
    <w:basedOn w:val="30"/>
    <w:qFormat/>
    <w:uiPriority w:val="9"/>
    <w:rPr>
      <w:rFonts w:ascii="Arial" w:hAnsi="Arial" w:eastAsia="Arial" w:cs="Arial"/>
      <w:b/>
      <w:bCs/>
      <w:sz w:val="22"/>
      <w:szCs w:val="22"/>
    </w:rPr>
  </w:style>
  <w:style w:type="character" w:customStyle="1" w:styleId="42">
    <w:name w:val="Heading 7 Char"/>
    <w:basedOn w:val="30"/>
    <w:qFormat/>
    <w:uiPriority w:val="9"/>
    <w:rPr>
      <w:rFonts w:ascii="Arial" w:hAnsi="Arial" w:eastAsia="Arial" w:cs="Arial"/>
      <w:b/>
      <w:bCs/>
      <w:i/>
      <w:iCs/>
      <w:sz w:val="22"/>
      <w:szCs w:val="22"/>
    </w:rPr>
  </w:style>
  <w:style w:type="character" w:customStyle="1" w:styleId="43">
    <w:name w:val="Heading 8 Char"/>
    <w:basedOn w:val="30"/>
    <w:uiPriority w:val="9"/>
    <w:rPr>
      <w:rFonts w:ascii="Arial" w:hAnsi="Arial" w:eastAsia="Arial" w:cs="Arial"/>
      <w:i/>
      <w:iCs/>
      <w:sz w:val="22"/>
      <w:szCs w:val="22"/>
    </w:rPr>
  </w:style>
  <w:style w:type="character" w:customStyle="1" w:styleId="44">
    <w:name w:val="Heading 9 Char"/>
    <w:basedOn w:val="30"/>
    <w:qFormat/>
    <w:uiPriority w:val="9"/>
    <w:rPr>
      <w:rFonts w:ascii="Arial" w:hAnsi="Arial" w:eastAsia="Arial" w:cs="Arial"/>
      <w:i/>
      <w:iCs/>
      <w:sz w:val="21"/>
      <w:szCs w:val="21"/>
    </w:rPr>
  </w:style>
  <w:style w:type="character" w:customStyle="1" w:styleId="45">
    <w:name w:val="Title Char"/>
    <w:basedOn w:val="30"/>
    <w:qFormat/>
    <w:uiPriority w:val="10"/>
    <w:rPr>
      <w:sz w:val="48"/>
      <w:szCs w:val="48"/>
    </w:rPr>
  </w:style>
  <w:style w:type="character" w:customStyle="1" w:styleId="46">
    <w:name w:val="Subtitle Char"/>
    <w:basedOn w:val="30"/>
    <w:qFormat/>
    <w:uiPriority w:val="11"/>
    <w:rPr>
      <w:sz w:val="24"/>
      <w:szCs w:val="24"/>
    </w:rPr>
  </w:style>
  <w:style w:type="character" w:customStyle="1" w:styleId="47">
    <w:name w:val="Quote Char"/>
    <w:qFormat/>
    <w:uiPriority w:val="29"/>
    <w:rPr>
      <w:i/>
    </w:rPr>
  </w:style>
  <w:style w:type="character" w:customStyle="1" w:styleId="48">
    <w:name w:val="Intense Quote Char"/>
    <w:qFormat/>
    <w:uiPriority w:val="30"/>
    <w:rPr>
      <w:i/>
    </w:rPr>
  </w:style>
  <w:style w:type="character" w:customStyle="1" w:styleId="49">
    <w:name w:val="Header Char"/>
    <w:basedOn w:val="30"/>
    <w:qFormat/>
    <w:uiPriority w:val="99"/>
  </w:style>
  <w:style w:type="character" w:customStyle="1" w:styleId="50">
    <w:name w:val="Caption Char"/>
    <w:qFormat/>
    <w:uiPriority w:val="99"/>
  </w:style>
  <w:style w:type="table" w:customStyle="1" w:styleId="51">
    <w:name w:val="Plain Table 1"/>
    <w:basedOn w:val="28"/>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52">
    <w:name w:val="Plain Table 2"/>
    <w:basedOn w:val="28"/>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53">
    <w:name w:val="Plain Table 3"/>
    <w:basedOn w:val="28"/>
    <w:uiPriority w:val="99"/>
    <w:tblPr>
      <w:tblCellMar>
        <w:top w:w="0" w:type="dxa"/>
        <w:left w:w="108" w:type="dxa"/>
        <w:bottom w:w="0" w:type="dxa"/>
        <w:right w:w="108" w:type="dxa"/>
      </w:tblCellMa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54">
    <w:name w:val="Plain Table 4"/>
    <w:basedOn w:val="28"/>
    <w:uiPriority w:val="99"/>
    <w:tblPr>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55">
    <w:name w:val="Plain Table 5"/>
    <w:basedOn w:val="28"/>
    <w:qFormat/>
    <w:uiPriority w:val="99"/>
    <w:tblPr>
      <w:tblCellMar>
        <w:top w:w="0" w:type="dxa"/>
        <w:left w:w="108" w:type="dxa"/>
        <w:bottom w:w="0" w:type="dxa"/>
        <w:right w:w="108" w:type="dxa"/>
      </w:tblCellMar>
    </w:tbl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56">
    <w:name w:val="Grid Table 1 Light"/>
    <w:basedOn w:val="28"/>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CellMar>
        <w:top w:w="0" w:type="dxa"/>
        <w:left w:w="108" w:type="dxa"/>
        <w:bottom w:w="0" w:type="dxa"/>
        <w:right w:w="108" w:type="dxa"/>
      </w:tblCellMar>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57">
    <w:name w:val="Grid Table 2"/>
    <w:basedOn w:val="28"/>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108" w:type="dxa"/>
        <w:bottom w:w="0" w:type="dxa"/>
        <w:right w:w="108" w:type="dxa"/>
      </w:tblCellMar>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58">
    <w:name w:val="Grid Table 3"/>
    <w:basedOn w:val="28"/>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108" w:type="dxa"/>
        <w:bottom w:w="0" w:type="dxa"/>
        <w:right w:w="108"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59">
    <w:name w:val="Grid Table 4"/>
    <w:basedOn w:val="28"/>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CellMar>
        <w:top w:w="0" w:type="dxa"/>
        <w:left w:w="108" w:type="dxa"/>
        <w:bottom w:w="0" w:type="dxa"/>
        <w:right w:w="108" w:type="dxa"/>
      </w:tblCellMar>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60">
    <w:name w:val="Grid Table 5 Dark"/>
    <w:basedOn w:val="28"/>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108" w:type="dxa"/>
        <w:bottom w:w="0" w:type="dxa"/>
        <w:right w:w="108" w:type="dxa"/>
      </w:tblCellMar>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61">
    <w:name w:val="Grid Table 6 Colorful"/>
    <w:basedOn w:val="28"/>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62">
    <w:name w:val="Grid Table 7 Colorful"/>
    <w:basedOn w:val="28"/>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108" w:type="dxa"/>
        <w:bottom w:w="0" w:type="dxa"/>
        <w:right w:w="108" w:type="dxa"/>
      </w:tblCellMar>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63">
    <w:name w:val="List Table 1 Light"/>
    <w:basedOn w:val="28"/>
    <w:qFormat/>
    <w:uiPriority w:val="99"/>
    <w:tblPr>
      <w:tblCellMar>
        <w:top w:w="0" w:type="dxa"/>
        <w:left w:w="108" w:type="dxa"/>
        <w:bottom w:w="0" w:type="dxa"/>
        <w:right w:w="108" w:type="dxa"/>
      </w:tblCellMar>
    </w:tbl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64">
    <w:name w:val="List Table 2"/>
    <w:basedOn w:val="28"/>
    <w:uiPriority w:val="99"/>
    <w:tblPr>
      <w:tblBorders>
        <w:top w:val="single" w:color="6E6E6E" w:themeColor="text1" w:themeTint="90" w:sz="4" w:space="0"/>
        <w:bottom w:val="single" w:color="6E6E6E" w:themeColor="text1" w:themeTint="90" w:sz="4" w:space="0"/>
        <w:insideH w:val="single" w:color="6E6E6E" w:themeColor="text1" w:themeTint="90" w:sz="4" w:space="0"/>
      </w:tblBorders>
      <w:tblCellMar>
        <w:top w:w="0" w:type="dxa"/>
        <w:left w:w="108" w:type="dxa"/>
        <w:bottom w:w="0" w:type="dxa"/>
        <w:right w:w="108" w:type="dxa"/>
      </w:tblCellMar>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65">
    <w:name w:val="List Table 3"/>
    <w:basedOn w:val="28"/>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top w:w="0" w:type="dxa"/>
        <w:left w:w="108" w:type="dxa"/>
        <w:bottom w:w="0" w:type="dxa"/>
        <w:right w:w="108"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66">
    <w:name w:val="List Table 4"/>
    <w:basedOn w:val="28"/>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top w:w="0" w:type="dxa"/>
        <w:left w:w="108" w:type="dxa"/>
        <w:bottom w:w="0" w:type="dxa"/>
        <w:right w:w="108"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67">
    <w:name w:val="List Table 5 Dark"/>
    <w:basedOn w:val="28"/>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CellMar>
        <w:top w:w="0" w:type="dxa"/>
        <w:left w:w="108" w:type="dxa"/>
        <w:bottom w:w="0" w:type="dxa"/>
        <w:right w:w="108" w:type="dxa"/>
      </w:tblCellMar>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68">
    <w:name w:val="List Table 6 Colorful"/>
    <w:basedOn w:val="28"/>
    <w:qFormat/>
    <w:uiPriority w:val="99"/>
    <w:tblPr>
      <w:tblBorders>
        <w:top w:val="single" w:color="7E7E7E" w:themeColor="text1" w:themeTint="80" w:sz="4" w:space="0"/>
        <w:bottom w:val="single" w:color="7E7E7E" w:themeColor="text1" w:themeTint="80" w:sz="4" w:space="0"/>
      </w:tblBorders>
      <w:tblCellMar>
        <w:top w:w="0" w:type="dxa"/>
        <w:left w:w="108" w:type="dxa"/>
        <w:bottom w:w="0" w:type="dxa"/>
        <w:right w:w="108" w:type="dxa"/>
      </w:tblCellMar>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69">
    <w:name w:val="List Table 7 Colorful"/>
    <w:basedOn w:val="28"/>
    <w:qFormat/>
    <w:uiPriority w:val="99"/>
    <w:tblPr>
      <w:tblBorders>
        <w:right w:val="single" w:color="7E7E7E" w:themeColor="text1" w:themeTint="80" w:sz="4" w:space="0"/>
      </w:tblBorders>
      <w:tblCellMar>
        <w:top w:w="0" w:type="dxa"/>
        <w:left w:w="108" w:type="dxa"/>
        <w:bottom w:w="0" w:type="dxa"/>
        <w:right w:w="108" w:type="dxa"/>
      </w:tblCellMar>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character" w:customStyle="1" w:styleId="70">
    <w:name w:val="Footnote Text Char"/>
    <w:qFormat/>
    <w:uiPriority w:val="99"/>
    <w:rPr>
      <w:sz w:val="18"/>
    </w:rPr>
  </w:style>
  <w:style w:type="character" w:customStyle="1" w:styleId="71">
    <w:name w:val="Endnote Text Char"/>
    <w:uiPriority w:val="99"/>
    <w:rPr>
      <w:sz w:val="20"/>
    </w:rPr>
  </w:style>
  <w:style w:type="paragraph" w:customStyle="1" w:styleId="72">
    <w:name w:val="TOC 标题1"/>
    <w:unhideWhenUsed/>
    <w:qFormat/>
    <w:uiPriority w:val="39"/>
    <w:rPr>
      <w:rFonts w:hint="default" w:ascii="Times New Roman" w:hAnsi="Times New Roman" w:eastAsia="宋体" w:cs="Times New Roman"/>
    </w:rPr>
  </w:style>
  <w:style w:type="character" w:customStyle="1" w:styleId="73">
    <w:name w:val="标题 1 Char"/>
    <w:link w:val="2"/>
    <w:qFormat/>
    <w:uiPriority w:val="9"/>
    <w:rPr>
      <w:rFonts w:ascii="Arial" w:hAnsi="Arial" w:eastAsia="Arial" w:cs="Arial"/>
      <w:sz w:val="40"/>
      <w:szCs w:val="40"/>
    </w:rPr>
  </w:style>
  <w:style w:type="character" w:customStyle="1" w:styleId="74">
    <w:name w:val="标题 2 Char"/>
    <w:link w:val="3"/>
    <w:qFormat/>
    <w:uiPriority w:val="9"/>
    <w:rPr>
      <w:rFonts w:ascii="Arial" w:hAnsi="Arial" w:eastAsia="Arial" w:cs="Arial"/>
      <w:sz w:val="34"/>
    </w:rPr>
  </w:style>
  <w:style w:type="character" w:customStyle="1" w:styleId="75">
    <w:name w:val="标题 3 Char"/>
    <w:link w:val="4"/>
    <w:qFormat/>
    <w:uiPriority w:val="9"/>
    <w:rPr>
      <w:rFonts w:ascii="Arial" w:hAnsi="Arial" w:eastAsia="Arial" w:cs="Arial"/>
      <w:sz w:val="30"/>
      <w:szCs w:val="30"/>
    </w:rPr>
  </w:style>
  <w:style w:type="character" w:customStyle="1" w:styleId="76">
    <w:name w:val="标题 4 Char"/>
    <w:link w:val="5"/>
    <w:qFormat/>
    <w:uiPriority w:val="9"/>
    <w:rPr>
      <w:rFonts w:ascii="Arial" w:hAnsi="Arial" w:eastAsia="Arial" w:cs="Arial"/>
      <w:b/>
      <w:bCs/>
      <w:sz w:val="26"/>
      <w:szCs w:val="26"/>
    </w:rPr>
  </w:style>
  <w:style w:type="character" w:customStyle="1" w:styleId="77">
    <w:name w:val="标题 5 Char"/>
    <w:link w:val="6"/>
    <w:qFormat/>
    <w:uiPriority w:val="9"/>
    <w:rPr>
      <w:rFonts w:ascii="Arial" w:hAnsi="Arial" w:eastAsia="Arial" w:cs="Arial"/>
      <w:b/>
      <w:bCs/>
      <w:sz w:val="24"/>
      <w:szCs w:val="24"/>
    </w:rPr>
  </w:style>
  <w:style w:type="character" w:customStyle="1" w:styleId="78">
    <w:name w:val="标题 6 Char"/>
    <w:link w:val="7"/>
    <w:qFormat/>
    <w:uiPriority w:val="9"/>
    <w:rPr>
      <w:rFonts w:ascii="Arial" w:hAnsi="Arial" w:eastAsia="Arial" w:cs="Arial"/>
      <w:b/>
      <w:bCs/>
      <w:sz w:val="22"/>
      <w:szCs w:val="22"/>
    </w:rPr>
  </w:style>
  <w:style w:type="character" w:customStyle="1" w:styleId="79">
    <w:name w:val="标题 7 Char"/>
    <w:link w:val="8"/>
    <w:qFormat/>
    <w:uiPriority w:val="9"/>
    <w:rPr>
      <w:rFonts w:ascii="Arial" w:hAnsi="Arial" w:eastAsia="Arial" w:cs="Arial"/>
      <w:b/>
      <w:bCs/>
      <w:i/>
      <w:iCs/>
      <w:sz w:val="22"/>
      <w:szCs w:val="22"/>
    </w:rPr>
  </w:style>
  <w:style w:type="character" w:customStyle="1" w:styleId="80">
    <w:name w:val="标题 8 Char"/>
    <w:link w:val="9"/>
    <w:qFormat/>
    <w:uiPriority w:val="9"/>
    <w:rPr>
      <w:rFonts w:ascii="Arial" w:hAnsi="Arial" w:eastAsia="Arial" w:cs="Arial"/>
      <w:i/>
      <w:iCs/>
      <w:sz w:val="22"/>
      <w:szCs w:val="22"/>
    </w:rPr>
  </w:style>
  <w:style w:type="character" w:customStyle="1" w:styleId="81">
    <w:name w:val="标题 9 Char"/>
    <w:link w:val="10"/>
    <w:qFormat/>
    <w:uiPriority w:val="9"/>
    <w:rPr>
      <w:rFonts w:ascii="Arial" w:hAnsi="Arial" w:eastAsia="Arial" w:cs="Arial"/>
      <w:i/>
      <w:iCs/>
      <w:sz w:val="21"/>
      <w:szCs w:val="21"/>
    </w:rPr>
  </w:style>
  <w:style w:type="paragraph" w:styleId="82">
    <w:name w:val="List Paragraph"/>
    <w:basedOn w:val="1"/>
    <w:qFormat/>
    <w:uiPriority w:val="34"/>
    <w:pPr>
      <w:ind w:left="720"/>
      <w:contextualSpacing/>
    </w:pPr>
  </w:style>
  <w:style w:type="paragraph" w:styleId="83">
    <w:name w:val="No Spacing"/>
    <w:qFormat/>
    <w:uiPriority w:val="1"/>
    <w:rPr>
      <w:rFonts w:hint="default" w:ascii="Times New Roman" w:hAnsi="Times New Roman" w:eastAsia="宋体" w:cs="Times New Roman"/>
    </w:rPr>
  </w:style>
  <w:style w:type="character" w:customStyle="1" w:styleId="84">
    <w:name w:val="标题 Char"/>
    <w:link w:val="27"/>
    <w:qFormat/>
    <w:uiPriority w:val="10"/>
    <w:rPr>
      <w:sz w:val="48"/>
      <w:szCs w:val="48"/>
    </w:rPr>
  </w:style>
  <w:style w:type="character" w:customStyle="1" w:styleId="85">
    <w:name w:val="副标题 Char"/>
    <w:link w:val="21"/>
    <w:qFormat/>
    <w:uiPriority w:val="11"/>
    <w:rPr>
      <w:sz w:val="24"/>
      <w:szCs w:val="24"/>
    </w:rPr>
  </w:style>
  <w:style w:type="paragraph" w:styleId="86">
    <w:name w:val="Quote"/>
    <w:basedOn w:val="1"/>
    <w:next w:val="1"/>
    <w:link w:val="87"/>
    <w:qFormat/>
    <w:uiPriority w:val="29"/>
    <w:pPr>
      <w:ind w:left="720" w:right="720"/>
    </w:pPr>
    <w:rPr>
      <w:i/>
    </w:rPr>
  </w:style>
  <w:style w:type="character" w:customStyle="1" w:styleId="87">
    <w:name w:val="引用 Char"/>
    <w:link w:val="86"/>
    <w:qFormat/>
    <w:uiPriority w:val="29"/>
    <w:rPr>
      <w:i/>
    </w:rPr>
  </w:style>
  <w:style w:type="paragraph" w:styleId="88">
    <w:name w:val="Intense Quote"/>
    <w:basedOn w:val="1"/>
    <w:next w:val="1"/>
    <w:link w:val="89"/>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89">
    <w:name w:val="明显引用 Char"/>
    <w:link w:val="88"/>
    <w:qFormat/>
    <w:uiPriority w:val="30"/>
    <w:rPr>
      <w:i/>
    </w:rPr>
  </w:style>
  <w:style w:type="character" w:customStyle="1" w:styleId="90">
    <w:name w:val="页眉 Char"/>
    <w:link w:val="18"/>
    <w:qFormat/>
    <w:uiPriority w:val="99"/>
  </w:style>
  <w:style w:type="character" w:customStyle="1" w:styleId="91">
    <w:name w:val="Footer Char"/>
    <w:qFormat/>
    <w:uiPriority w:val="99"/>
  </w:style>
  <w:style w:type="character" w:customStyle="1" w:styleId="92">
    <w:name w:val="页脚 Char"/>
    <w:link w:val="17"/>
    <w:qFormat/>
    <w:uiPriority w:val="99"/>
  </w:style>
  <w:style w:type="table" w:customStyle="1" w:styleId="93">
    <w:name w:val="Table Grid Light"/>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94">
    <w:name w:val="无格式表格 11"/>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95">
    <w:name w:val="无格式表格 21"/>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96">
    <w:name w:val="无格式表格 31"/>
    <w:qFormat/>
    <w:uiPriority w:val="99"/>
    <w:tblPr>
      <w:tblCellMar>
        <w:top w:w="0" w:type="dxa"/>
        <w:left w:w="0" w:type="dxa"/>
        <w:bottom w:w="0" w:type="dxa"/>
        <w:right w:w="0" w:type="dxa"/>
      </w:tblCellMar>
    </w:tbl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97">
    <w:name w:val="无格式表格 41"/>
    <w:qFormat/>
    <w:uiPriority w:val="99"/>
    <w:tblPr>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98">
    <w:name w:val="无格式表格 51"/>
    <w:qFormat/>
    <w:uiPriority w:val="99"/>
    <w:tblPr>
      <w:tblCellMar>
        <w:top w:w="0" w:type="dxa"/>
        <w:left w:w="0" w:type="dxa"/>
        <w:bottom w:w="0" w:type="dxa"/>
        <w:right w:w="0" w:type="dxa"/>
      </w:tblCellMar>
    </w:tbl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99">
    <w:name w:val="网格表 1 浅色1"/>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CellMar>
        <w:top w:w="0" w:type="dxa"/>
        <w:left w:w="0" w:type="dxa"/>
        <w:bottom w:w="0" w:type="dxa"/>
        <w:right w:w="0" w:type="dxa"/>
      </w:tblCellMar>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100">
    <w:name w:val="Grid Table 1 Light - Accent 1"/>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CellMar>
        <w:top w:w="0" w:type="dxa"/>
        <w:left w:w="0" w:type="dxa"/>
        <w:bottom w:w="0" w:type="dxa"/>
        <w:right w:w="0" w:type="dxa"/>
      </w:tblCellMar>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01">
    <w:name w:val="Grid Table 1 Light - Accent 2"/>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CellMar>
        <w:top w:w="0" w:type="dxa"/>
        <w:left w:w="0" w:type="dxa"/>
        <w:bottom w:w="0" w:type="dxa"/>
        <w:right w:w="0" w:type="dxa"/>
      </w:tblCellMar>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02">
    <w:name w:val="Grid Table 1 Light - Accent 3"/>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0" w:type="dxa"/>
        <w:bottom w:w="0" w:type="dxa"/>
        <w:right w:w="0" w:type="dxa"/>
      </w:tblCellMar>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03">
    <w:name w:val="Grid Table 1 Light - Accent 4"/>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0" w:type="dxa"/>
        <w:bottom w:w="0" w:type="dxa"/>
        <w:right w:w="0" w:type="dxa"/>
      </w:tblCellMar>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04">
    <w:name w:val="Grid Table 1 Light - Accent 5"/>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CellMar>
        <w:top w:w="0" w:type="dxa"/>
        <w:left w:w="0" w:type="dxa"/>
        <w:bottom w:w="0" w:type="dxa"/>
        <w:right w:w="0" w:type="dxa"/>
      </w:tblCellMar>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05">
    <w:name w:val="Grid Table 1 Light - Accent 6"/>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0" w:type="dxa"/>
        <w:bottom w:w="0" w:type="dxa"/>
        <w:right w:w="0" w:type="dxa"/>
      </w:tblCellMar>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106">
    <w:name w:val="网格表 21"/>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0" w:type="dxa"/>
        <w:bottom w:w="0" w:type="dxa"/>
        <w:right w:w="0" w:type="dxa"/>
      </w:tblCellMar>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07">
    <w:name w:val="Grid Table 2 - Accent 1"/>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CellMar>
        <w:top w:w="0" w:type="dxa"/>
        <w:left w:w="0" w:type="dxa"/>
        <w:bottom w:w="0" w:type="dxa"/>
        <w:right w:w="0" w:type="dxa"/>
      </w:tblCellMar>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108">
    <w:name w:val="Grid Table 2 - Accent 2"/>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09">
    <w:name w:val="Grid Table 2 - Accent 3"/>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10">
    <w:name w:val="Grid Table 2 - Accent 4"/>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11">
    <w:name w:val="Grid Table 2 - Accent 5"/>
    <w:qFormat/>
    <w:uiPriority w:val="99"/>
    <w:tblPr>
      <w:tblBorders>
        <w:bottom w:val="single" w:color="4BACC6" w:themeColor="accent5" w:sz="4" w:space="0"/>
        <w:insideH w:val="single" w:color="4BACC6" w:themeColor="accent5" w:sz="4" w:space="0"/>
        <w:insideV w:val="single" w:color="4BACC6" w:themeColor="accent5" w:sz="4" w:space="0"/>
      </w:tblBorders>
      <w:tblCellMar>
        <w:top w:w="0" w:type="dxa"/>
        <w:left w:w="0" w:type="dxa"/>
        <w:bottom w:w="0" w:type="dxa"/>
        <w:right w:w="0" w:type="dxa"/>
      </w:tblCellMar>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12">
    <w:name w:val="Grid Table 2 - Accent 6"/>
    <w:qFormat/>
    <w:uiPriority w:val="99"/>
    <w:tblPr>
      <w:tblBorders>
        <w:bottom w:val="single" w:color="F79646" w:themeColor="accent6" w:sz="4" w:space="0"/>
        <w:insideH w:val="single" w:color="F79646" w:themeColor="accent6" w:sz="4" w:space="0"/>
        <w:insideV w:val="single" w:color="F79646" w:themeColor="accent6" w:sz="4" w:space="0"/>
      </w:tblBorders>
      <w:tblCellMar>
        <w:top w:w="0" w:type="dxa"/>
        <w:left w:w="0" w:type="dxa"/>
        <w:bottom w:w="0" w:type="dxa"/>
        <w:right w:w="0" w:type="dxa"/>
      </w:tblCellMar>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13">
    <w:name w:val="网格表 31"/>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14">
    <w:name w:val="Grid Table 3 - Accent 1"/>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115">
    <w:name w:val="Grid Table 3 - Accent 2"/>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16">
    <w:name w:val="Grid Table 3 - Accent 3"/>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17">
    <w:name w:val="Grid Table 3 - Accent 4"/>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18">
    <w:name w:val="Grid Table 3 - Accent 5"/>
    <w:qFormat/>
    <w:uiPriority w:val="99"/>
    <w:tblPr>
      <w:tblBorders>
        <w:bottom w:val="single" w:color="4BACC6" w:themeColor="accent5" w:sz="4" w:space="0"/>
        <w:insideH w:val="single" w:color="4BACC6" w:themeColor="accent5" w:sz="4" w:space="0"/>
        <w:insideV w:val="single" w:color="4BACC6" w:themeColor="accent5"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19">
    <w:name w:val="Grid Table 3 - Accent 6"/>
    <w:qFormat/>
    <w:uiPriority w:val="99"/>
    <w:tblPr>
      <w:tblBorders>
        <w:bottom w:val="single" w:color="F79646" w:themeColor="accent6" w:sz="4" w:space="0"/>
        <w:insideH w:val="single" w:color="F79646" w:themeColor="accent6" w:sz="4" w:space="0"/>
        <w:insideV w:val="single" w:color="F79646" w:themeColor="accent6" w:sz="4" w:space="0"/>
      </w:tblBorders>
      <w:tblCellMar>
        <w:top w:w="0" w:type="dxa"/>
        <w:left w:w="0" w:type="dxa"/>
        <w:bottom w:w="0" w:type="dxa"/>
        <w:right w:w="0" w:type="dxa"/>
      </w:tblCellMar>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20">
    <w:name w:val="网格表 41"/>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21">
    <w:name w:val="Grid Table 4 - Accent 1"/>
    <w:qFormat/>
    <w:uiPriority w:val="5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122">
    <w:name w:val="Grid Table 4 - Accent 2"/>
    <w:qFormat/>
    <w:uiPriority w:val="5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23">
    <w:name w:val="Grid Table 4 - Accent 3"/>
    <w:qFormat/>
    <w:uiPriority w:val="5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24">
    <w:name w:val="Grid Table 4 - Accent 4"/>
    <w:qFormat/>
    <w:uiPriority w:val="5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25">
    <w:name w:val="Grid Table 4 - Accent 5"/>
    <w:qFormat/>
    <w:uiPriority w:val="5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26">
    <w:name w:val="Grid Table 4 - Accent 6"/>
    <w:qFormat/>
    <w:uiPriority w:val="5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0" w:type="dxa"/>
        <w:bottom w:w="0" w:type="dxa"/>
        <w:right w:w="0" w:type="dxa"/>
      </w:tblCellMar>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27">
    <w:name w:val="网格表 5 深色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128">
    <w:name w:val="Grid Table 5 Dark- Accent 1"/>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129">
    <w:name w:val="Grid Table 5 Dark - Accent 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130">
    <w:name w:val="Grid Table 5 Dark - Accent 3"/>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131">
    <w:name w:val="Grid Table 5 Dark- Accent 4"/>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132">
    <w:name w:val="Grid Table 5 Dark - Accent 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133">
    <w:name w:val="Grid Table 5 Dark - Accent 6"/>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CellMar>
        <w:top w:w="0" w:type="dxa"/>
        <w:left w:w="0" w:type="dxa"/>
        <w:bottom w:w="0" w:type="dxa"/>
        <w:right w:w="0" w:type="dxa"/>
      </w:tblCellMar>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134">
    <w:name w:val="网格表 6 彩色1"/>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0" w:type="dxa"/>
        <w:bottom w:w="0" w:type="dxa"/>
        <w:right w:w="0" w:type="dxa"/>
      </w:tblCellMar>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35">
    <w:name w:val="Grid Table 6 Colorful - Accent 1"/>
    <w:qFormat/>
    <w:uiPriority w:val="99"/>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0" w:type="dxa"/>
        <w:bottom w:w="0" w:type="dxa"/>
        <w:right w:w="0" w:type="dxa"/>
      </w:tblCellMar>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36">
    <w:name w:val="Grid Table 6 Colorful - Accent 2"/>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37">
    <w:name w:val="Grid Table 6 Colorful - Accent 3"/>
    <w:qFormat/>
    <w:uiPriority w:val="99"/>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b/>
        <w:color w:val="9BBB59" w:themeColor="accent3"/>
        <w14:textFill>
          <w14:solidFill>
            <w14:schemeClr w14:val="accent3"/>
          </w14:solidFill>
        </w14:textFill>
      </w:rPr>
      <w:tcPr>
        <w:tcBorders>
          <w:bottom w:val="single" w:color="9BBB59" w:themeColor="accent3" w:themeTint="FE" w:sz="12" w:space="0"/>
        </w:tcBorders>
      </w:tcPr>
    </w:tblStylePr>
    <w:tblStylePr w:type="lastRow">
      <w:rPr>
        <w:b/>
        <w:color w:val="9BBB59" w:themeColor="accent3"/>
        <w14:textFill>
          <w14:solidFill>
            <w14:schemeClr w14:val="accent3"/>
          </w14:solidFill>
        </w14:textFill>
      </w:rPr>
    </w:tblStylePr>
    <w:tblStylePr w:type="firstCol">
      <w:rPr>
        <w:b/>
        <w:color w:val="9BBB59" w:themeColor="accent3"/>
        <w14:textFill>
          <w14:solidFill>
            <w14:schemeClr w14:val="accent3"/>
          </w14:solidFill>
        </w14:textFill>
      </w:rPr>
    </w:tblStylePr>
    <w:tblStylePr w:type="lastCol">
      <w:rPr>
        <w:b/>
        <w:color w:val="9BBB59" w:themeColor="accent3"/>
        <w14:textFill>
          <w14:solidFill>
            <w14:schemeClr w14:val="accent3"/>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sz w:val="22"/>
        <w14:textFill>
          <w14:solidFill>
            <w14:schemeClr w14:val="accent3"/>
          </w14:solidFill>
        </w14:textFill>
      </w:rPr>
      <w:tcPr>
        <w:shd w:val="clear" w:color="EAF1DD" w:themeColor="accent3" w:themeTint="34" w:fill="EAF1DD" w:themeFill="accent3" w:themeFillTint="34"/>
      </w:tcPr>
    </w:tblStylePr>
    <w:tblStylePr w:type="band2Horz">
      <w:rPr>
        <w:rFonts w:ascii="Arial" w:hAnsi="Arial"/>
        <w:color w:val="9BBB59" w:themeColor="accent3"/>
        <w:sz w:val="22"/>
        <w14:textFill>
          <w14:solidFill>
            <w14:schemeClr w14:val="accent3"/>
          </w14:solidFill>
        </w14:textFill>
      </w:rPr>
    </w:tblStylePr>
  </w:style>
  <w:style w:type="table" w:customStyle="1" w:styleId="138">
    <w:name w:val="Grid Table 6 Colorful - Accent 4"/>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39">
    <w:name w:val="Grid Table 6 Colorful - Accent 5"/>
    <w:qFormat/>
    <w:uiPriority w:val="99"/>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CellMar>
        <w:top w:w="0" w:type="dxa"/>
        <w:left w:w="0" w:type="dxa"/>
        <w:bottom w:w="0" w:type="dxa"/>
        <w:right w:w="0" w:type="dxa"/>
      </w:tblCellMar>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40">
    <w:name w:val="Grid Table 6 Colorful - Accent 6"/>
    <w:qFormat/>
    <w:uiPriority w:val="99"/>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CellMar>
        <w:top w:w="0" w:type="dxa"/>
        <w:left w:w="0" w:type="dxa"/>
        <w:bottom w:w="0" w:type="dxa"/>
        <w:right w:w="0" w:type="dxa"/>
      </w:tblCellMar>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41">
    <w:name w:val="网格表 7 彩色1"/>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CellMar>
        <w:top w:w="0" w:type="dxa"/>
        <w:left w:w="0" w:type="dxa"/>
        <w:bottom w:w="0" w:type="dxa"/>
        <w:right w:w="0" w:type="dxa"/>
      </w:tblCellMar>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42">
    <w:name w:val="Grid Table 7 Colorful - Accent 1"/>
    <w:qFormat/>
    <w:uiPriority w:val="99"/>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top w:w="0" w:type="dxa"/>
        <w:left w:w="0" w:type="dxa"/>
        <w:bottom w:w="0" w:type="dxa"/>
        <w:right w:w="0" w:type="dxa"/>
      </w:tblCellMar>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43">
    <w:name w:val="Grid Table 7 Colorful - Accent 2"/>
    <w:qFormat/>
    <w:uiPriority w:val="99"/>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CellMar>
        <w:top w:w="0" w:type="dxa"/>
        <w:left w:w="0" w:type="dxa"/>
        <w:bottom w:w="0" w:type="dxa"/>
        <w:right w:w="0" w:type="dxa"/>
      </w:tblCellMar>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44">
    <w:name w:val="Grid Table 7 Colorful - Accent 3"/>
    <w:qFormat/>
    <w:uiPriority w:val="99"/>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CellMar>
        <w:top w:w="0" w:type="dxa"/>
        <w:left w:w="0" w:type="dxa"/>
        <w:bottom w:w="0" w:type="dxa"/>
        <w:right w:w="0" w:type="dxa"/>
      </w:tblCellMar>
    </w:tblPr>
    <w:tblStylePr w:type="firstRow">
      <w:rPr>
        <w:rFonts w:ascii="Arial" w:hAnsi="Arial"/>
        <w:b/>
        <w:color w:val="9BBB59" w:themeColor="accent3"/>
        <w:sz w:val="22"/>
        <w14:textFill>
          <w14:solidFill>
            <w14:schemeClr w14:val="accent3"/>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sz w:val="22"/>
        <w14:textFill>
          <w14:solidFill>
            <w14:schemeClr w14:val="accent3"/>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sz w:val="22"/>
        <w14:textFill>
          <w14:solidFill>
            <w14:schemeClr w14:val="accent3"/>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sz w:val="22"/>
        <w14:textFill>
          <w14:solidFill>
            <w14:schemeClr w14:val="accent3"/>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sz w:val="22"/>
        <w14:textFill>
          <w14:solidFill>
            <w14:schemeClr w14:val="accent3"/>
          </w14:solidFill>
        </w14:textFill>
      </w:rPr>
      <w:tcPr>
        <w:shd w:val="clear" w:color="EAF1DD" w:themeColor="accent3" w:themeTint="34" w:fill="EAF1DD" w:themeFill="accent3" w:themeFillTint="34"/>
      </w:tcPr>
    </w:tblStylePr>
    <w:tblStylePr w:type="band2Horz">
      <w:rPr>
        <w:rFonts w:ascii="Arial" w:hAnsi="Arial"/>
        <w:color w:val="9BBB59" w:themeColor="accent3"/>
        <w:sz w:val="22"/>
        <w14:textFill>
          <w14:solidFill>
            <w14:schemeClr w14:val="accent3"/>
          </w14:solidFill>
        </w14:textFill>
      </w:rPr>
    </w:tblStylePr>
  </w:style>
  <w:style w:type="table" w:customStyle="1" w:styleId="145">
    <w:name w:val="Grid Table 7 Colorful - Accent 4"/>
    <w:qFormat/>
    <w:uiPriority w:val="99"/>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top w:w="0" w:type="dxa"/>
        <w:left w:w="0" w:type="dxa"/>
        <w:bottom w:w="0" w:type="dxa"/>
        <w:right w:w="0" w:type="dxa"/>
      </w:tblCellMar>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46">
    <w:name w:val="Grid Table 7 Colorful - Accent 5"/>
    <w:qFormat/>
    <w:uiPriority w:val="99"/>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top w:w="0" w:type="dxa"/>
        <w:left w:w="0" w:type="dxa"/>
        <w:bottom w:w="0" w:type="dxa"/>
        <w:right w:w="0" w:type="dxa"/>
      </w:tblCellMar>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47">
    <w:name w:val="Grid Table 7 Colorful - Accent 6"/>
    <w:qFormat/>
    <w:uiPriority w:val="99"/>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top w:w="0" w:type="dxa"/>
        <w:left w:w="0" w:type="dxa"/>
        <w:bottom w:w="0" w:type="dxa"/>
        <w:right w:w="0" w:type="dxa"/>
      </w:tblCellMar>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48">
    <w:name w:val="清单表 1 浅色1"/>
    <w:qFormat/>
    <w:uiPriority w:val="99"/>
    <w:tblPr>
      <w:tblCellMar>
        <w:top w:w="0" w:type="dxa"/>
        <w:left w:w="0" w:type="dxa"/>
        <w:bottom w:w="0" w:type="dxa"/>
        <w:right w:w="0" w:type="dxa"/>
      </w:tblCellMar>
    </w:tbl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49">
    <w:name w:val="List Table 1 Light - Accent 1"/>
    <w:qFormat/>
    <w:uiPriority w:val="99"/>
    <w:tblPr>
      <w:tblCellMar>
        <w:top w:w="0" w:type="dxa"/>
        <w:left w:w="0" w:type="dxa"/>
        <w:bottom w:w="0" w:type="dxa"/>
        <w:right w:w="0" w:type="dxa"/>
      </w:tblCellMar>
    </w:tbl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50">
    <w:name w:val="List Table 1 Light - Accent 2"/>
    <w:qFormat/>
    <w:uiPriority w:val="99"/>
    <w:tblPr>
      <w:tblCellMar>
        <w:top w:w="0" w:type="dxa"/>
        <w:left w:w="0" w:type="dxa"/>
        <w:bottom w:w="0" w:type="dxa"/>
        <w:right w:w="0" w:type="dxa"/>
      </w:tblCellMar>
    </w:tbl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51">
    <w:name w:val="List Table 1 Light - Accent 3"/>
    <w:qFormat/>
    <w:uiPriority w:val="99"/>
    <w:tblPr>
      <w:tblCellMar>
        <w:top w:w="0" w:type="dxa"/>
        <w:left w:w="0" w:type="dxa"/>
        <w:bottom w:w="0" w:type="dxa"/>
        <w:right w:w="0" w:type="dxa"/>
      </w:tblCellMar>
    </w:tbl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52">
    <w:name w:val="List Table 1 Light - Accent 4"/>
    <w:qFormat/>
    <w:uiPriority w:val="99"/>
    <w:tblPr>
      <w:tblCellMar>
        <w:top w:w="0" w:type="dxa"/>
        <w:left w:w="0" w:type="dxa"/>
        <w:bottom w:w="0" w:type="dxa"/>
        <w:right w:w="0" w:type="dxa"/>
      </w:tblCellMar>
    </w:tbl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53">
    <w:name w:val="List Table 1 Light - Accent 5"/>
    <w:qFormat/>
    <w:uiPriority w:val="99"/>
    <w:tblPr>
      <w:tblCellMar>
        <w:top w:w="0" w:type="dxa"/>
        <w:left w:w="0" w:type="dxa"/>
        <w:bottom w:w="0" w:type="dxa"/>
        <w:right w:w="0" w:type="dxa"/>
      </w:tblCellMar>
    </w:tbl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54">
    <w:name w:val="List Table 1 Light - Accent 6"/>
    <w:qFormat/>
    <w:uiPriority w:val="99"/>
    <w:tblPr>
      <w:tblCellMar>
        <w:top w:w="0" w:type="dxa"/>
        <w:left w:w="0" w:type="dxa"/>
        <w:bottom w:w="0" w:type="dxa"/>
        <w:right w:w="0" w:type="dxa"/>
      </w:tblCellMar>
    </w:tbl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55">
    <w:name w:val="清单表 21"/>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56">
    <w:name w:val="List Table 2 - Accent 1"/>
    <w:qFormat/>
    <w:uiPriority w:val="99"/>
    <w:tblPr>
      <w:tblBorders>
        <w:top w:val="single" w:color="9BB7D9" w:themeColor="accent1" w:themeTint="90" w:sz="4" w:space="0"/>
        <w:bottom w:val="single" w:color="9BB7D9" w:themeColor="accent1" w:themeTint="90" w:sz="4" w:space="0"/>
        <w:insideH w:val="single" w:color="9BB7D9" w:themeColor="accent1"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57">
    <w:name w:val="List Table 2 - Accent 2"/>
    <w:qFormat/>
    <w:uiPriority w:val="99"/>
    <w:tblPr>
      <w:tblBorders>
        <w:top w:val="single" w:color="DB9C9A" w:themeColor="accent2" w:themeTint="90" w:sz="4" w:space="0"/>
        <w:bottom w:val="single" w:color="DB9C9A" w:themeColor="accent2" w:themeTint="90" w:sz="4" w:space="0"/>
        <w:insideH w:val="single" w:color="DB9C9A" w:themeColor="accent2"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58">
    <w:name w:val="List Table 2 - Accent 3"/>
    <w:qFormat/>
    <w:uiPriority w:val="99"/>
    <w:tblPr>
      <w:tblBorders>
        <w:top w:val="single" w:color="C6D8A1" w:themeColor="accent3" w:themeTint="90" w:sz="4" w:space="0"/>
        <w:bottom w:val="single" w:color="C6D8A1" w:themeColor="accent3" w:themeTint="90" w:sz="4" w:space="0"/>
        <w:insideH w:val="single" w:color="C6D8A1" w:themeColor="accent3"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59">
    <w:name w:val="List Table 2 - Accent 4"/>
    <w:qFormat/>
    <w:uiPriority w:val="99"/>
    <w:tblPr>
      <w:tblBorders>
        <w:top w:val="single" w:color="B7A7CA" w:themeColor="accent4" w:themeTint="90" w:sz="4" w:space="0"/>
        <w:bottom w:val="single" w:color="B7A7CA" w:themeColor="accent4" w:themeTint="90" w:sz="4" w:space="0"/>
        <w:insideH w:val="single" w:color="B7A7CA" w:themeColor="accent4"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60">
    <w:name w:val="List Table 2 - Accent 5"/>
    <w:qFormat/>
    <w:uiPriority w:val="99"/>
    <w:tblPr>
      <w:tblBorders>
        <w:top w:val="single" w:color="99D0DE" w:themeColor="accent5" w:themeTint="90" w:sz="4" w:space="0"/>
        <w:bottom w:val="single" w:color="99D0DE" w:themeColor="accent5" w:themeTint="90" w:sz="4" w:space="0"/>
        <w:insideH w:val="single" w:color="99D0DE" w:themeColor="accent5"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61">
    <w:name w:val="List Table 2 - Accent 6"/>
    <w:qFormat/>
    <w:uiPriority w:val="99"/>
    <w:tblPr>
      <w:tblBorders>
        <w:top w:val="single" w:color="FAC396" w:themeColor="accent6" w:themeTint="90" w:sz="4" w:space="0"/>
        <w:bottom w:val="single" w:color="FAC396" w:themeColor="accent6" w:themeTint="90" w:sz="4" w:space="0"/>
        <w:insideH w:val="single" w:color="FAC396" w:themeColor="accent6" w:themeTint="90" w:sz="4" w:space="0"/>
      </w:tblBorders>
      <w:tblCellMar>
        <w:top w:w="0" w:type="dxa"/>
        <w:left w:w="0" w:type="dxa"/>
        <w:bottom w:w="0" w:type="dxa"/>
        <w:right w:w="0" w:type="dxa"/>
      </w:tblCellMar>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62">
    <w:name w:val="清单表 31"/>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top w:w="0" w:type="dxa"/>
        <w:left w:w="0" w:type="dxa"/>
        <w:bottom w:w="0" w:type="dxa"/>
        <w:right w:w="0"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63">
    <w:name w:val="List Table 3 - Accent 1"/>
    <w:qFormat/>
    <w:uiPriority w:val="99"/>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CellMar>
        <w:top w:w="0" w:type="dxa"/>
        <w:left w:w="0" w:type="dxa"/>
        <w:bottom w:w="0" w:type="dxa"/>
        <w:right w:w="0" w:type="dxa"/>
      </w:tblCellMar>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64">
    <w:name w:val="List Table 3 - Accent 2"/>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CellMar>
        <w:top w:w="0" w:type="dxa"/>
        <w:left w:w="0" w:type="dxa"/>
        <w:bottom w:w="0" w:type="dxa"/>
        <w:right w:w="0" w:type="dxa"/>
      </w:tblCellMar>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65">
    <w:name w:val="List Table 3 - Accent 3"/>
    <w:qFormat/>
    <w:uiPriority w:val="99"/>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CellMar>
        <w:top w:w="0" w:type="dxa"/>
        <w:left w:w="0" w:type="dxa"/>
        <w:bottom w:w="0" w:type="dxa"/>
        <w:right w:w="0" w:type="dxa"/>
      </w:tblCellMar>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66">
    <w:name w:val="List Table 3 - Accent 4"/>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CellMar>
        <w:top w:w="0" w:type="dxa"/>
        <w:left w:w="0" w:type="dxa"/>
        <w:bottom w:w="0" w:type="dxa"/>
        <w:right w:w="0" w:type="dxa"/>
      </w:tblCellMar>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67">
    <w:name w:val="List Table 3 - Accent 5"/>
    <w:qFormat/>
    <w:uiPriority w:val="99"/>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CellMar>
        <w:top w:w="0" w:type="dxa"/>
        <w:left w:w="0" w:type="dxa"/>
        <w:bottom w:w="0" w:type="dxa"/>
        <w:right w:w="0" w:type="dxa"/>
      </w:tblCellMar>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68">
    <w:name w:val="List Table 3 - Accent 6"/>
    <w:qFormat/>
    <w:uiPriority w:val="99"/>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CellMar>
        <w:top w:w="0" w:type="dxa"/>
        <w:left w:w="0" w:type="dxa"/>
        <w:bottom w:w="0" w:type="dxa"/>
        <w:right w:w="0" w:type="dxa"/>
      </w:tblCellMar>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69">
    <w:name w:val="清单表 41"/>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top w:w="0" w:type="dxa"/>
        <w:left w:w="0" w:type="dxa"/>
        <w:bottom w:w="0" w:type="dxa"/>
        <w:right w:w="0" w:type="dxa"/>
      </w:tblCellMar>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70">
    <w:name w:val="List Table 4 - Accent 1"/>
    <w:qFormat/>
    <w:uiPriority w:val="9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CellMar>
        <w:top w:w="0" w:type="dxa"/>
        <w:left w:w="0" w:type="dxa"/>
        <w:bottom w:w="0" w:type="dxa"/>
        <w:right w:w="0" w:type="dxa"/>
      </w:tblCellMar>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71">
    <w:name w:val="List Table 4 - Accent 2"/>
    <w:qFormat/>
    <w:uiPriority w:val="9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CellMar>
        <w:top w:w="0" w:type="dxa"/>
        <w:left w:w="0" w:type="dxa"/>
        <w:bottom w:w="0" w:type="dxa"/>
        <w:right w:w="0" w:type="dxa"/>
      </w:tblCellMar>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72">
    <w:name w:val="List Table 4 - Accent 3"/>
    <w:qFormat/>
    <w:uiPriority w:val="9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CellMar>
        <w:top w:w="0" w:type="dxa"/>
        <w:left w:w="0" w:type="dxa"/>
        <w:bottom w:w="0" w:type="dxa"/>
        <w:right w:w="0" w:type="dxa"/>
      </w:tblCellMar>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73">
    <w:name w:val="List Table 4 - Accent 4"/>
    <w:qFormat/>
    <w:uiPriority w:val="9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CellMar>
        <w:top w:w="0" w:type="dxa"/>
        <w:left w:w="0" w:type="dxa"/>
        <w:bottom w:w="0" w:type="dxa"/>
        <w:right w:w="0" w:type="dxa"/>
      </w:tblCellMar>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74">
    <w:name w:val="List Table 4 - Accent 5"/>
    <w:qFormat/>
    <w:uiPriority w:val="9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CellMar>
        <w:top w:w="0" w:type="dxa"/>
        <w:left w:w="0" w:type="dxa"/>
        <w:bottom w:w="0" w:type="dxa"/>
        <w:right w:w="0" w:type="dxa"/>
      </w:tblCellMar>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75">
    <w:name w:val="List Table 4 - Accent 6"/>
    <w:qFormat/>
    <w:uiPriority w:val="9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CellMar>
        <w:top w:w="0" w:type="dxa"/>
        <w:left w:w="0" w:type="dxa"/>
        <w:bottom w:w="0" w:type="dxa"/>
        <w:right w:w="0" w:type="dxa"/>
      </w:tblCellMar>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76">
    <w:name w:val="清单表 5 深色1"/>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77">
    <w:name w:val="List Table 5 Dark - Accent 1"/>
    <w:qFormat/>
    <w:uiPriority w:val="99"/>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78">
    <w:name w:val="List Table 5 Dark - Accent 2"/>
    <w:qFormat/>
    <w:uiPriority w:val="99"/>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79">
    <w:name w:val="List Table 5 Dark - Accent 3"/>
    <w:qFormat/>
    <w:uiPriority w:val="99"/>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80">
    <w:name w:val="List Table 5 Dark - Accent 4"/>
    <w:qFormat/>
    <w:uiPriority w:val="99"/>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81">
    <w:name w:val="List Table 5 Dark - Accent 5"/>
    <w:qFormat/>
    <w:uiPriority w:val="99"/>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82">
    <w:name w:val="List Table 5 Dark - Accent 6"/>
    <w:qFormat/>
    <w:uiPriority w:val="99"/>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CellMar>
        <w:top w:w="0" w:type="dxa"/>
        <w:left w:w="0" w:type="dxa"/>
        <w:bottom w:w="0" w:type="dxa"/>
        <w:right w:w="0" w:type="dxa"/>
      </w:tblCellMar>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83">
    <w:name w:val="清单表 6 彩色1"/>
    <w:qFormat/>
    <w:uiPriority w:val="99"/>
    <w:tblPr>
      <w:tblBorders>
        <w:top w:val="single" w:color="7E7E7E" w:themeColor="text1" w:themeTint="80" w:sz="4" w:space="0"/>
        <w:bottom w:val="single" w:color="7E7E7E" w:themeColor="text1" w:themeTint="80" w:sz="4" w:space="0"/>
      </w:tblBorders>
      <w:tblCellMar>
        <w:top w:w="0" w:type="dxa"/>
        <w:left w:w="0" w:type="dxa"/>
        <w:bottom w:w="0" w:type="dxa"/>
        <w:right w:w="0" w:type="dxa"/>
      </w:tblCellMar>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84">
    <w:name w:val="List Table 6 Colorful - Accent 1"/>
    <w:qFormat/>
    <w:uiPriority w:val="99"/>
    <w:tblPr>
      <w:tblBorders>
        <w:top w:val="single" w:color="4F81BD" w:themeColor="accent1" w:sz="4" w:space="0"/>
        <w:bottom w:val="single" w:color="4F81BD" w:themeColor="accent1" w:sz="4" w:space="0"/>
      </w:tblBorders>
      <w:tblCellMar>
        <w:top w:w="0" w:type="dxa"/>
        <w:left w:w="0" w:type="dxa"/>
        <w:bottom w:w="0" w:type="dxa"/>
        <w:right w:w="0" w:type="dxa"/>
      </w:tblCellMar>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85">
    <w:name w:val="List Table 6 Colorful - Accent 2"/>
    <w:qFormat/>
    <w:uiPriority w:val="99"/>
    <w:tblPr>
      <w:tblBorders>
        <w:top w:val="single" w:color="D99795" w:themeColor="accent2" w:themeTint="97" w:sz="4" w:space="0"/>
        <w:bottom w:val="single" w:color="D99795" w:themeColor="accent2" w:themeTint="97" w:sz="4" w:space="0"/>
      </w:tblBorders>
      <w:tblCellMar>
        <w:top w:w="0" w:type="dxa"/>
        <w:left w:w="0" w:type="dxa"/>
        <w:bottom w:w="0" w:type="dxa"/>
        <w:right w:w="0" w:type="dxa"/>
      </w:tblCellMar>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86">
    <w:name w:val="List Table 6 Colorful - Accent 3"/>
    <w:qFormat/>
    <w:uiPriority w:val="99"/>
    <w:tblPr>
      <w:tblBorders>
        <w:top w:val="single" w:color="C3D69C" w:themeColor="accent3" w:themeTint="98" w:sz="4" w:space="0"/>
        <w:bottom w:val="single" w:color="C3D69C" w:themeColor="accent3" w:themeTint="98" w:sz="4" w:space="0"/>
      </w:tblBorders>
      <w:tblCellMar>
        <w:top w:w="0" w:type="dxa"/>
        <w:left w:w="0" w:type="dxa"/>
        <w:bottom w:w="0" w:type="dxa"/>
        <w:right w:w="0" w:type="dxa"/>
      </w:tblCellMar>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87">
    <w:name w:val="List Table 6 Colorful - Accent 4"/>
    <w:qFormat/>
    <w:uiPriority w:val="99"/>
    <w:tblPr>
      <w:tblBorders>
        <w:top w:val="single" w:color="B2A1C6" w:themeColor="accent4" w:themeTint="9A" w:sz="4" w:space="0"/>
        <w:bottom w:val="single" w:color="B2A1C6" w:themeColor="accent4" w:themeTint="9A" w:sz="4" w:space="0"/>
      </w:tblBorders>
      <w:tblCellMar>
        <w:top w:w="0" w:type="dxa"/>
        <w:left w:w="0" w:type="dxa"/>
        <w:bottom w:w="0" w:type="dxa"/>
        <w:right w:w="0" w:type="dxa"/>
      </w:tblCellMar>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88">
    <w:name w:val="List Table 6 Colorful - Accent 5"/>
    <w:qFormat/>
    <w:uiPriority w:val="99"/>
    <w:tblPr>
      <w:tblBorders>
        <w:top w:val="single" w:color="92CCDC" w:themeColor="accent5" w:themeTint="9A" w:sz="4" w:space="0"/>
        <w:bottom w:val="single" w:color="92CCDC" w:themeColor="accent5" w:themeTint="9A" w:sz="4" w:space="0"/>
      </w:tblBorders>
      <w:tblCellMar>
        <w:top w:w="0" w:type="dxa"/>
        <w:left w:w="0" w:type="dxa"/>
        <w:bottom w:w="0" w:type="dxa"/>
        <w:right w:w="0" w:type="dxa"/>
      </w:tblCellMar>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89">
    <w:name w:val="List Table 6 Colorful - Accent 6"/>
    <w:qFormat/>
    <w:uiPriority w:val="99"/>
    <w:tblPr>
      <w:tblBorders>
        <w:top w:val="single" w:color="FAC090" w:themeColor="accent6" w:themeTint="98" w:sz="4" w:space="0"/>
        <w:bottom w:val="single" w:color="FAC090" w:themeColor="accent6" w:themeTint="98" w:sz="4" w:space="0"/>
      </w:tblBorders>
      <w:tblCellMar>
        <w:top w:w="0" w:type="dxa"/>
        <w:left w:w="0" w:type="dxa"/>
        <w:bottom w:w="0" w:type="dxa"/>
        <w:right w:w="0" w:type="dxa"/>
      </w:tblCellMar>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90">
    <w:name w:val="清单表 7 彩色1"/>
    <w:qFormat/>
    <w:uiPriority w:val="99"/>
    <w:tblPr>
      <w:tblBorders>
        <w:right w:val="single" w:color="7E7E7E" w:themeColor="text1" w:themeTint="80" w:sz="4" w:space="0"/>
      </w:tblBorders>
      <w:tblCellMar>
        <w:top w:w="0" w:type="dxa"/>
        <w:left w:w="0" w:type="dxa"/>
        <w:bottom w:w="0" w:type="dxa"/>
        <w:right w:w="0" w:type="dxa"/>
      </w:tblCellMar>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91">
    <w:name w:val="List Table 7 Colorful - Accent 1"/>
    <w:qFormat/>
    <w:uiPriority w:val="99"/>
    <w:tblPr>
      <w:tblBorders>
        <w:right w:val="single" w:color="4F81BD" w:themeColor="accent1" w:sz="4" w:space="0"/>
      </w:tblBorders>
      <w:tblCellMar>
        <w:top w:w="0" w:type="dxa"/>
        <w:left w:w="0" w:type="dxa"/>
        <w:bottom w:w="0" w:type="dxa"/>
        <w:right w:w="0" w:type="dxa"/>
      </w:tblCellMar>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92">
    <w:name w:val="List Table 7 Colorful - Accent 2"/>
    <w:qFormat/>
    <w:uiPriority w:val="99"/>
    <w:tblPr>
      <w:tblBorders>
        <w:right w:val="single" w:color="D99795" w:themeColor="accent2" w:themeTint="97" w:sz="4" w:space="0"/>
      </w:tblBorders>
      <w:tblCellMar>
        <w:top w:w="0" w:type="dxa"/>
        <w:left w:w="0" w:type="dxa"/>
        <w:bottom w:w="0" w:type="dxa"/>
        <w:right w:w="0" w:type="dxa"/>
      </w:tblCellMar>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93">
    <w:name w:val="List Table 7 Colorful - Accent 3"/>
    <w:qFormat/>
    <w:uiPriority w:val="99"/>
    <w:tblPr>
      <w:tblBorders>
        <w:right w:val="single" w:color="C3D69C" w:themeColor="accent3" w:themeTint="98" w:sz="4" w:space="0"/>
      </w:tblBorders>
      <w:tblCellMar>
        <w:top w:w="0" w:type="dxa"/>
        <w:left w:w="0" w:type="dxa"/>
        <w:bottom w:w="0" w:type="dxa"/>
        <w:right w:w="0" w:type="dxa"/>
      </w:tblCellMar>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94">
    <w:name w:val="List Table 7 Colorful - Accent 4"/>
    <w:qFormat/>
    <w:uiPriority w:val="99"/>
    <w:tblPr>
      <w:tblBorders>
        <w:right w:val="single" w:color="B2A1C6" w:themeColor="accent4" w:themeTint="9A" w:sz="4" w:space="0"/>
      </w:tblBorders>
      <w:tblCellMar>
        <w:top w:w="0" w:type="dxa"/>
        <w:left w:w="0" w:type="dxa"/>
        <w:bottom w:w="0" w:type="dxa"/>
        <w:right w:w="0" w:type="dxa"/>
      </w:tblCellMar>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95">
    <w:name w:val="List Table 7 Colorful - Accent 5"/>
    <w:qFormat/>
    <w:uiPriority w:val="99"/>
    <w:tblPr>
      <w:tblBorders>
        <w:right w:val="single" w:color="92CCDC" w:themeColor="accent5" w:themeTint="9A" w:sz="4" w:space="0"/>
      </w:tblBorders>
      <w:tblCellMar>
        <w:top w:w="0" w:type="dxa"/>
        <w:left w:w="0" w:type="dxa"/>
        <w:bottom w:w="0" w:type="dxa"/>
        <w:right w:w="0" w:type="dxa"/>
      </w:tblCellMar>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96">
    <w:name w:val="List Table 7 Colorful - Accent 6"/>
    <w:qFormat/>
    <w:uiPriority w:val="99"/>
    <w:tblPr>
      <w:tblBorders>
        <w:right w:val="single" w:color="FAC090" w:themeColor="accent6" w:themeTint="98" w:sz="4" w:space="0"/>
      </w:tblBorders>
      <w:tblCellMar>
        <w:top w:w="0" w:type="dxa"/>
        <w:left w:w="0" w:type="dxa"/>
        <w:bottom w:w="0" w:type="dxa"/>
        <w:right w:w="0" w:type="dxa"/>
      </w:tblCellMar>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97">
    <w:name w:val="Lined - Accent"/>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98">
    <w:name w:val="Lined - Accent 1"/>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99">
    <w:name w:val="Lined - Accent 2"/>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200">
    <w:name w:val="Lined - Accent 3"/>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201">
    <w:name w:val="Lined - Accent 4"/>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202">
    <w:name w:val="Lined - Accent 5"/>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203">
    <w:name w:val="Lined - Accent 6"/>
    <w:qFormat/>
    <w:uiPriority w:val="99"/>
    <w:rPr>
      <w:color w:val="404040"/>
    </w:rPr>
    <w:tblPr>
      <w:tblCellMar>
        <w:top w:w="0" w:type="dxa"/>
        <w:left w:w="0" w:type="dxa"/>
        <w:bottom w:w="0" w:type="dxa"/>
        <w:right w:w="0" w:type="dxa"/>
      </w:tblCellMar>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204">
    <w:name w:val="Bordered &amp; Lined - Accent"/>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CellMar>
        <w:top w:w="0" w:type="dxa"/>
        <w:left w:w="0" w:type="dxa"/>
        <w:bottom w:w="0" w:type="dxa"/>
        <w:right w:w="0" w:type="dxa"/>
      </w:tblCellMar>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205">
    <w:name w:val="Bordered &amp; Lined - Accent 1"/>
    <w:qFormat/>
    <w:uiPriority w:val="99"/>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CellMar>
        <w:top w:w="0" w:type="dxa"/>
        <w:left w:w="0" w:type="dxa"/>
        <w:bottom w:w="0" w:type="dxa"/>
        <w:right w:w="0" w:type="dxa"/>
      </w:tblCellMar>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206">
    <w:name w:val="Bordered &amp; Lined - Accent 2"/>
    <w:qFormat/>
    <w:uiPriority w:val="99"/>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CellMar>
        <w:top w:w="0" w:type="dxa"/>
        <w:left w:w="0" w:type="dxa"/>
        <w:bottom w:w="0" w:type="dxa"/>
        <w:right w:w="0" w:type="dxa"/>
      </w:tblCellMar>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207">
    <w:name w:val="Bordered &amp; Lined - Accent 3"/>
    <w:qFormat/>
    <w:uiPriority w:val="99"/>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CellMar>
        <w:top w:w="0" w:type="dxa"/>
        <w:left w:w="0" w:type="dxa"/>
        <w:bottom w:w="0" w:type="dxa"/>
        <w:right w:w="0" w:type="dxa"/>
      </w:tblCellMar>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208">
    <w:name w:val="Bordered &amp; Lined - Accent 4"/>
    <w:qFormat/>
    <w:uiPriority w:val="99"/>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CellMar>
        <w:top w:w="0" w:type="dxa"/>
        <w:left w:w="0" w:type="dxa"/>
        <w:bottom w:w="0" w:type="dxa"/>
        <w:right w:w="0" w:type="dxa"/>
      </w:tblCellMar>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209">
    <w:name w:val="Bordered &amp; Lined - Accent 5"/>
    <w:qFormat/>
    <w:uiPriority w:val="99"/>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CellMar>
        <w:top w:w="0" w:type="dxa"/>
        <w:left w:w="0" w:type="dxa"/>
        <w:bottom w:w="0" w:type="dxa"/>
        <w:right w:w="0" w:type="dxa"/>
      </w:tblCellMar>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210">
    <w:name w:val="Bordered &amp; Lined - Accent 6"/>
    <w:qFormat/>
    <w:uiPriority w:val="99"/>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CellMar>
        <w:top w:w="0" w:type="dxa"/>
        <w:left w:w="0" w:type="dxa"/>
        <w:bottom w:w="0" w:type="dxa"/>
        <w:right w:w="0" w:type="dxa"/>
      </w:tblCellMar>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211">
    <w:name w:val="Bordered"/>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CellMar>
        <w:top w:w="0" w:type="dxa"/>
        <w:left w:w="0" w:type="dxa"/>
        <w:bottom w:w="0" w:type="dxa"/>
        <w:right w:w="0" w:type="dxa"/>
      </w:tblCellMar>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212">
    <w:name w:val="Bordered - Accent 1"/>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213">
    <w:name w:val="Bordered - Accent 2"/>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214">
    <w:name w:val="Bordered - Accent 3"/>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215">
    <w:name w:val="Bordered - Accent 4"/>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216">
    <w:name w:val="Bordered - Accent 5"/>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217">
    <w:name w:val="Bordered - Accent 6"/>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top w:w="0" w:type="dxa"/>
        <w:left w:w="0" w:type="dxa"/>
        <w:bottom w:w="0" w:type="dxa"/>
        <w:right w:w="0" w:type="dxa"/>
      </w:tblCellMar>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218">
    <w:name w:val="脚注文本 Char"/>
    <w:link w:val="22"/>
    <w:qFormat/>
    <w:uiPriority w:val="99"/>
    <w:rPr>
      <w:sz w:val="18"/>
    </w:rPr>
  </w:style>
  <w:style w:type="character" w:customStyle="1" w:styleId="219">
    <w:name w:val="尾注文本 Char"/>
    <w:link w:val="16"/>
    <w:qFormat/>
    <w:uiPriority w:val="99"/>
    <w:rPr>
      <w:sz w:val="20"/>
    </w:rPr>
  </w:style>
  <w:style w:type="paragraph" w:customStyle="1" w:styleId="220">
    <w:name w:val="TOC 标题11"/>
    <w:unhideWhenUsed/>
    <w:qFormat/>
    <w:uiPriority w:val="39"/>
    <w:rPr>
      <w:rFonts w:hint="default" w:ascii="Times New Roman" w:hAnsi="Times New Roman" w:eastAsia="宋体" w:cs="Times New Roman"/>
    </w:rPr>
  </w:style>
  <w:style w:type="character" w:customStyle="1" w:styleId="221">
    <w:name w:val="默认段落字体1"/>
    <w:unhideWhenUsed/>
    <w:qFormat/>
    <w:uiPriority w:val="1"/>
  </w:style>
  <w:style w:type="table" w:customStyle="1" w:styleId="222">
    <w:name w:val="普通表格1"/>
    <w:unhideWhenUsed/>
    <w:qFormat/>
    <w:uiPriority w:val="99"/>
    <w:tblPr>
      <w:tblCellMar>
        <w:top w:w="0" w:type="dxa"/>
        <w:left w:w="0" w:type="dxa"/>
        <w:bottom w:w="0" w:type="dxa"/>
        <w:right w:w="0" w:type="dxa"/>
      </w:tblCellMar>
    </w:tblPr>
  </w:style>
  <w:style w:type="paragraph" w:customStyle="1" w:styleId="223">
    <w:name w:val="批注文字1"/>
    <w:qFormat/>
    <w:uiPriority w:val="0"/>
    <w:pPr>
      <w:widowControl w:val="0"/>
      <w:snapToGrid w:val="0"/>
      <w:spacing w:line="336" w:lineRule="auto"/>
      <w:ind w:firstLine="632" w:firstLineChars="200"/>
    </w:pPr>
    <w:rPr>
      <w:rFonts w:hint="eastAsia" w:ascii="仿宋_GB2312" w:hAnsi="仿宋_GB2312" w:eastAsia="仿宋_GB2312" w:cs="仿宋_GB2312"/>
      <w:snapToGrid w:val="0"/>
      <w:sz w:val="32"/>
      <w:szCs w:val="24"/>
    </w:rPr>
  </w:style>
  <w:style w:type="paragraph" w:customStyle="1" w:styleId="224">
    <w:name w:val="正文文本缩进1"/>
    <w:basedOn w:val="1"/>
    <w:qFormat/>
    <w:uiPriority w:val="99"/>
    <w:pPr>
      <w:spacing w:after="120"/>
      <w:ind w:left="420" w:leftChars="200"/>
    </w:pPr>
  </w:style>
  <w:style w:type="paragraph" w:customStyle="1" w:styleId="225">
    <w:name w:val="日期1"/>
    <w:basedOn w:val="1"/>
    <w:next w:val="1"/>
    <w:link w:val="226"/>
    <w:unhideWhenUsed/>
    <w:qFormat/>
    <w:uiPriority w:val="99"/>
    <w:pPr>
      <w:ind w:left="100" w:leftChars="2500"/>
    </w:pPr>
  </w:style>
  <w:style w:type="character" w:customStyle="1" w:styleId="226">
    <w:name w:val="日期 字符"/>
    <w:link w:val="225"/>
    <w:semiHidden/>
    <w:qFormat/>
    <w:uiPriority w:val="99"/>
    <w:rPr>
      <w:kern w:val="2"/>
      <w:sz w:val="32"/>
      <w:szCs w:val="22"/>
    </w:rPr>
  </w:style>
  <w:style w:type="paragraph" w:customStyle="1" w:styleId="227">
    <w:name w:val="页脚1"/>
    <w:basedOn w:val="1"/>
    <w:link w:val="228"/>
    <w:unhideWhenUsed/>
    <w:qFormat/>
    <w:uiPriority w:val="99"/>
    <w:pPr>
      <w:tabs>
        <w:tab w:val="center" w:pos="4153"/>
        <w:tab w:val="right" w:pos="8306"/>
      </w:tabs>
      <w:snapToGrid w:val="0"/>
      <w:jc w:val="left"/>
    </w:pPr>
    <w:rPr>
      <w:sz w:val="18"/>
      <w:szCs w:val="18"/>
    </w:rPr>
  </w:style>
  <w:style w:type="character" w:customStyle="1" w:styleId="228">
    <w:name w:val="页脚 字符"/>
    <w:link w:val="227"/>
    <w:qFormat/>
    <w:uiPriority w:val="99"/>
    <w:rPr>
      <w:kern w:val="2"/>
      <w:sz w:val="18"/>
      <w:szCs w:val="18"/>
    </w:rPr>
  </w:style>
  <w:style w:type="paragraph" w:customStyle="1" w:styleId="229">
    <w:name w:val="页眉1"/>
    <w:basedOn w:val="1"/>
    <w:link w:val="230"/>
    <w:unhideWhenUsed/>
    <w:qFormat/>
    <w:uiPriority w:val="99"/>
    <w:pPr>
      <w:pBdr>
        <w:bottom w:val="single" w:color="000000" w:sz="6" w:space="1"/>
      </w:pBdr>
      <w:tabs>
        <w:tab w:val="center" w:pos="4153"/>
        <w:tab w:val="right" w:pos="8306"/>
      </w:tabs>
      <w:snapToGrid w:val="0"/>
      <w:jc w:val="center"/>
    </w:pPr>
    <w:rPr>
      <w:sz w:val="18"/>
      <w:szCs w:val="18"/>
    </w:rPr>
  </w:style>
  <w:style w:type="character" w:customStyle="1" w:styleId="230">
    <w:name w:val="页眉 字符"/>
    <w:link w:val="229"/>
    <w:qFormat/>
    <w:uiPriority w:val="99"/>
    <w:rPr>
      <w:kern w:val="2"/>
      <w:sz w:val="18"/>
      <w:szCs w:val="18"/>
    </w:rPr>
  </w:style>
  <w:style w:type="paragraph" w:customStyle="1" w:styleId="231">
    <w:name w:val="正文首行缩进 21"/>
    <w:basedOn w:val="224"/>
    <w:next w:val="1"/>
    <w:qFormat/>
    <w:uiPriority w:val="0"/>
    <w:pPr>
      <w:ind w:left="200" w:firstLine="420" w:firstLineChars="200"/>
    </w:pPr>
    <w:rPr>
      <w:rFonts w:ascii="Calibri" w:hAnsi="Calibri"/>
      <w:sz w:val="21"/>
      <w:szCs w:val="24"/>
    </w:rPr>
  </w:style>
  <w:style w:type="table" w:customStyle="1" w:styleId="232">
    <w:name w:val="网格型1"/>
    <w:basedOn w:val="222"/>
    <w:qFormat/>
    <w:uiPriority w:val="59"/>
    <w:pPr>
      <w:widowControl w:val="0"/>
      <w:jc w:val="both"/>
    </w:pPr>
    <w:rPr>
      <w:rFonts w:ascii="Calibri" w:hAnsi="Calibri"/>
    </w:rPr>
    <w:tblPr>
      <w:tblCellMar>
        <w:top w:w="0" w:type="dxa"/>
        <w:left w:w="0" w:type="dxa"/>
        <w:bottom w:w="0" w:type="dxa"/>
        <w:right w:w="0" w:type="dxa"/>
      </w:tblCellMar>
    </w:tblPr>
  </w:style>
  <w:style w:type="character" w:customStyle="1" w:styleId="233">
    <w:name w:val="页码1"/>
    <w:unhideWhenUsed/>
    <w:qFormat/>
    <w:uiPriority w:val="99"/>
  </w:style>
  <w:style w:type="paragraph" w:customStyle="1" w:styleId="234">
    <w:name w:val="段"/>
    <w:qFormat/>
    <w:uiPriority w:val="0"/>
    <w:pPr>
      <w:tabs>
        <w:tab w:val="center" w:pos="4201"/>
        <w:tab w:val="right" w:leader="dot" w:pos="9298"/>
      </w:tabs>
      <w:autoSpaceDE w:val="0"/>
      <w:autoSpaceDN w:val="0"/>
      <w:ind w:firstLine="420" w:firstLineChars="200"/>
      <w:jc w:val="both"/>
    </w:pPr>
    <w:rPr>
      <w:rFonts w:hint="default" w:ascii="宋体" w:hAnsi="Times New Roman" w:eastAsia="宋体" w:cs="Times New Roman"/>
      <w:sz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黑体"/>
        <a:cs typeface="Arial"/>
      </a:majorFont>
      <a:minorFont>
        <a:latin typeface="Arial"/>
        <a:ea typeface="宋体"/>
        <a:cs typeface="Arial"/>
      </a:minorFont>
    </a:fontScheme>
    <a:fmtScheme na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145</Words>
  <Characters>153</Characters>
  <TotalTime>1</TotalTime>
  <ScaleCrop>false</ScaleCrop>
  <LinksUpToDate>false</LinksUpToDate>
  <CharactersWithSpaces>169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2021-07-28T02:22:00Z</dcterms:created>
  <dc:creator>税伯</dc:creator>
  <cp:lastModifiedBy>胡建伟</cp:lastModifiedBy>
  <dcterms:modified xsi:type="dcterms:W3CDTF">2026-10-10T09:03:45Z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BE4D7A4343E0471E89FD661E5E807978_13</vt:lpwstr>
  </property>
  <property fmtid="{D5CDD505-2E9C-101B-9397-08002B2CF9AE}" pid="4" name="KSOTemplateDocerSaveRecord">
    <vt:lpwstr>eyJoZGlkIjoiYWU4ODcyZTJlZWFiNjFhYmQzMTcxZWUwODQ0OGI0YmEiLCJ1c2VySWQiOiI1NDIyMzAwMzAifQ==</vt:lpwstr>
  </property>
</Properties>
</file>