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DC59C">
      <w:pPr>
        <w:rPr>
          <w:rFonts w:hint="eastAsia" w:eastAsia="黑体"/>
          <w:snapToGrid w:val="0"/>
          <w:color w:val="000000"/>
          <w:kern w:val="0"/>
        </w:rPr>
      </w:pPr>
      <w:r>
        <w:rPr>
          <w:rFonts w:hint="eastAsia" w:eastAsia="黑体"/>
          <w:snapToGrid w:val="0"/>
          <w:color w:val="000000"/>
          <w:kern w:val="0"/>
        </w:rPr>
        <w:t>附录B</w:t>
      </w:r>
    </w:p>
    <w:p w14:paraId="2860B264">
      <w:pPr>
        <w:jc w:val="center"/>
        <w:rPr>
          <w:rFonts w:hint="eastAsia" w:eastAsia="方正小标宋_GBK"/>
          <w:sz w:val="40"/>
          <w:szCs w:val="40"/>
        </w:rPr>
      </w:pPr>
      <w:r>
        <w:rPr>
          <w:rFonts w:hint="eastAsia" w:eastAsia="方正小标宋_GBK"/>
          <w:sz w:val="40"/>
          <w:szCs w:val="40"/>
        </w:rPr>
        <w:t>承包（委托）经营者评价工作要点</w:t>
      </w:r>
    </w:p>
    <w:p w14:paraId="061FEBFC">
      <w:pPr>
        <w:ind w:firstLine="640" w:firstLineChars="200"/>
        <w:rPr>
          <w:rFonts w:hint="eastAsia" w:eastAsia="仿宋_GB2312"/>
          <w:szCs w:val="24"/>
        </w:rPr>
      </w:pPr>
    </w:p>
    <w:tbl>
      <w:tblPr>
        <w:tblStyle w:val="28"/>
        <w:tblW w:w="10421" w:type="dxa"/>
        <w:jc w:val="center"/>
        <w:tblCaption w:val="Table6g0q"/>
        <w:tblLayout w:type="fixed"/>
        <w:tblCellMar>
          <w:top w:w="0" w:type="dxa"/>
          <w:left w:w="108" w:type="dxa"/>
          <w:bottom w:w="0" w:type="dxa"/>
          <w:right w:w="108" w:type="dxa"/>
        </w:tblCellMar>
      </w:tblPr>
      <w:tblGrid>
        <w:gridCol w:w="711"/>
        <w:gridCol w:w="1230"/>
        <w:gridCol w:w="8480"/>
      </w:tblGrid>
      <w:tr w14:paraId="4BA5F9CD">
        <w:tblPrEx>
          <w:tblCellMar>
            <w:top w:w="0" w:type="dxa"/>
            <w:left w:w="108" w:type="dxa"/>
            <w:bottom w:w="0" w:type="dxa"/>
            <w:right w:w="108" w:type="dxa"/>
          </w:tblCellMar>
        </w:tblPrEx>
        <w:trPr>
          <w:trHeight w:val="397"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2C47C">
            <w:pPr>
              <w:jc w:val="center"/>
              <w:rPr>
                <w:rFonts w:hint="eastAsia" w:ascii="黑体" w:hAnsi="黑体" w:eastAsia="黑体" w:cs="黑体"/>
                <w:snapToGrid w:val="0"/>
                <w:color w:val="000000"/>
                <w:kern w:val="0"/>
                <w:sz w:val="20"/>
                <w:szCs w:val="20"/>
              </w:rPr>
            </w:pPr>
            <w:r>
              <w:rPr>
                <w:rFonts w:hint="eastAsia" w:ascii="黑体" w:hAnsi="黑体" w:eastAsia="黑体" w:cs="黑体"/>
                <w:snapToGrid w:val="0"/>
                <w:color w:val="000000"/>
                <w:kern w:val="0"/>
                <w:sz w:val="20"/>
                <w:szCs w:val="20"/>
              </w:rPr>
              <w:t>序列</w:t>
            </w:r>
          </w:p>
        </w:tc>
        <w:tc>
          <w:tcPr>
            <w:tcW w:w="1230" w:type="dxa"/>
            <w:tcBorders>
              <w:top w:val="single" w:color="000000" w:sz="4" w:space="0"/>
              <w:left w:val="nil"/>
              <w:bottom w:val="single" w:color="000000" w:sz="4" w:space="0"/>
              <w:right w:val="single" w:color="000000" w:sz="4" w:space="0"/>
            </w:tcBorders>
            <w:shd w:val="clear" w:color="auto" w:fill="auto"/>
            <w:noWrap/>
            <w:vAlign w:val="center"/>
          </w:tcPr>
          <w:p w14:paraId="10E1A800">
            <w:pPr>
              <w:jc w:val="center"/>
              <w:rPr>
                <w:rFonts w:hint="eastAsia" w:ascii="黑体" w:hAnsi="黑体" w:eastAsia="黑体" w:cs="黑体"/>
                <w:snapToGrid w:val="0"/>
                <w:color w:val="000000"/>
                <w:kern w:val="0"/>
                <w:sz w:val="20"/>
                <w:szCs w:val="20"/>
              </w:rPr>
            </w:pPr>
            <w:r>
              <w:rPr>
                <w:rFonts w:hint="eastAsia" w:ascii="黑体" w:hAnsi="黑体" w:eastAsia="黑体" w:cs="黑体"/>
                <w:snapToGrid w:val="0"/>
                <w:color w:val="000000"/>
                <w:kern w:val="0"/>
                <w:sz w:val="20"/>
                <w:szCs w:val="20"/>
              </w:rPr>
              <w:t>评价项目</w:t>
            </w:r>
          </w:p>
        </w:tc>
        <w:tc>
          <w:tcPr>
            <w:tcW w:w="8480" w:type="dxa"/>
            <w:tcBorders>
              <w:top w:val="single" w:color="000000" w:sz="4" w:space="0"/>
              <w:left w:val="nil"/>
              <w:bottom w:val="single" w:color="000000" w:sz="4" w:space="0"/>
              <w:right w:val="single" w:color="000000" w:sz="4" w:space="0"/>
            </w:tcBorders>
            <w:shd w:val="clear" w:color="auto" w:fill="auto"/>
            <w:noWrap/>
            <w:vAlign w:val="center"/>
          </w:tcPr>
          <w:p w14:paraId="5AAB7632">
            <w:pPr>
              <w:jc w:val="center"/>
              <w:rPr>
                <w:rFonts w:hint="eastAsia" w:ascii="黑体" w:hAnsi="黑体" w:eastAsia="黑体" w:cs="黑体"/>
                <w:snapToGrid w:val="0"/>
                <w:color w:val="000000"/>
                <w:kern w:val="0"/>
                <w:sz w:val="20"/>
                <w:szCs w:val="20"/>
              </w:rPr>
            </w:pPr>
            <w:r>
              <w:rPr>
                <w:rFonts w:hint="eastAsia" w:ascii="黑体" w:hAnsi="黑体" w:eastAsia="黑体" w:cs="黑体"/>
                <w:snapToGrid w:val="0"/>
                <w:color w:val="000000"/>
                <w:kern w:val="0"/>
                <w:sz w:val="20"/>
                <w:szCs w:val="20"/>
              </w:rPr>
              <w:t>评价要点</w:t>
            </w:r>
          </w:p>
        </w:tc>
      </w:tr>
      <w:tr w14:paraId="249A8A0B">
        <w:tblPrEx>
          <w:tblCellMar>
            <w:top w:w="0" w:type="dxa"/>
            <w:left w:w="108" w:type="dxa"/>
            <w:bottom w:w="0" w:type="dxa"/>
            <w:right w:w="108" w:type="dxa"/>
          </w:tblCellMar>
        </w:tblPrEx>
        <w:trPr>
          <w:trHeight w:val="397" w:hRule="atLeast"/>
          <w:jc w:val="center"/>
        </w:trPr>
        <w:tc>
          <w:tcPr>
            <w:tcW w:w="10421" w:type="dxa"/>
            <w:gridSpan w:val="3"/>
            <w:tcBorders>
              <w:top w:val="nil"/>
              <w:left w:val="single" w:color="000000" w:sz="4" w:space="0"/>
              <w:bottom w:val="single" w:color="000000" w:sz="4" w:space="0"/>
              <w:right w:val="single" w:color="000000" w:sz="4" w:space="0"/>
            </w:tcBorders>
            <w:shd w:val="clear" w:color="auto" w:fill="auto"/>
            <w:noWrap w:val="0"/>
            <w:vAlign w:val="center"/>
          </w:tcPr>
          <w:p w14:paraId="1326213A">
            <w:pPr>
              <w:rPr>
                <w:rFonts w:hint="eastAsia" w:eastAsia="仿宋_GB2312"/>
                <w:b/>
                <w:snapToGrid w:val="0"/>
                <w:color w:val="000000"/>
                <w:kern w:val="0"/>
                <w:sz w:val="20"/>
                <w:szCs w:val="20"/>
              </w:rPr>
            </w:pPr>
            <w:r>
              <w:rPr>
                <w:rFonts w:hint="eastAsia" w:eastAsia="仿宋_GB2312"/>
                <w:b/>
                <w:snapToGrid w:val="0"/>
                <w:color w:val="000000"/>
                <w:kern w:val="0"/>
                <w:sz w:val="20"/>
                <w:szCs w:val="20"/>
              </w:rPr>
              <w:t>一、满意度评价（20分）</w:t>
            </w:r>
          </w:p>
        </w:tc>
      </w:tr>
      <w:tr w14:paraId="61132CB3">
        <w:tblPrEx>
          <w:tblCellMar>
            <w:top w:w="0" w:type="dxa"/>
            <w:left w:w="108" w:type="dxa"/>
            <w:bottom w:w="0" w:type="dxa"/>
            <w:right w:w="108" w:type="dxa"/>
          </w:tblCellMar>
        </w:tblPrEx>
        <w:trPr>
          <w:trHeight w:val="397" w:hRule="atLeast"/>
          <w:jc w:val="center"/>
        </w:trPr>
        <w:tc>
          <w:tcPr>
            <w:tcW w:w="711" w:type="dxa"/>
            <w:tcBorders>
              <w:top w:val="nil"/>
              <w:left w:val="single" w:color="000000" w:sz="4" w:space="0"/>
              <w:bottom w:val="single" w:color="000000" w:sz="4" w:space="0"/>
              <w:right w:val="nil"/>
            </w:tcBorders>
            <w:shd w:val="clear" w:color="auto" w:fill="auto"/>
            <w:noWrap w:val="0"/>
            <w:vAlign w:val="center"/>
          </w:tcPr>
          <w:p w14:paraId="05E32648">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w:t>
            </w:r>
          </w:p>
        </w:tc>
        <w:tc>
          <w:tcPr>
            <w:tcW w:w="1230" w:type="dxa"/>
            <w:tcBorders>
              <w:top w:val="nil"/>
              <w:left w:val="single" w:color="000000" w:sz="4" w:space="0"/>
              <w:bottom w:val="single" w:color="000000" w:sz="4" w:space="0"/>
              <w:right w:val="single" w:color="000000" w:sz="4" w:space="0"/>
            </w:tcBorders>
            <w:shd w:val="clear" w:color="auto" w:fill="auto"/>
            <w:noWrap w:val="0"/>
            <w:vAlign w:val="center"/>
          </w:tcPr>
          <w:p w14:paraId="1D4643CA">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师生总体满意度</w:t>
            </w:r>
          </w:p>
        </w:tc>
        <w:tc>
          <w:tcPr>
            <w:tcW w:w="8480" w:type="dxa"/>
            <w:tcBorders>
              <w:top w:val="single" w:color="000000" w:sz="4" w:space="0"/>
              <w:left w:val="nil"/>
              <w:bottom w:val="single" w:color="000000" w:sz="4" w:space="0"/>
              <w:right w:val="single" w:color="000000" w:sz="4" w:space="0"/>
            </w:tcBorders>
            <w:shd w:val="clear" w:color="auto" w:fill="auto"/>
            <w:noWrap/>
            <w:vAlign w:val="center"/>
          </w:tcPr>
          <w:p w14:paraId="6AD9C89F">
            <w:pPr>
              <w:tabs>
                <w:tab w:val="left" w:pos="312"/>
              </w:tabs>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该项指标主要调查就餐师生对经营者提供餐食、服务的满意度情况。（此项建议由采购人组织考核）</w:t>
            </w:r>
          </w:p>
        </w:tc>
      </w:tr>
      <w:tr w14:paraId="4D12DDCA">
        <w:tblPrEx>
          <w:tblCellMar>
            <w:top w:w="0" w:type="dxa"/>
            <w:left w:w="108" w:type="dxa"/>
            <w:bottom w:w="0" w:type="dxa"/>
            <w:right w:w="108" w:type="dxa"/>
          </w:tblCellMar>
        </w:tblPrEx>
        <w:trPr>
          <w:trHeight w:val="397" w:hRule="atLeast"/>
          <w:jc w:val="center"/>
        </w:trPr>
        <w:tc>
          <w:tcPr>
            <w:tcW w:w="10421" w:type="dxa"/>
            <w:gridSpan w:val="3"/>
            <w:tcBorders>
              <w:top w:val="nil"/>
              <w:left w:val="single" w:color="000000" w:sz="4" w:space="0"/>
              <w:bottom w:val="single" w:color="000000" w:sz="4" w:space="0"/>
              <w:right w:val="single" w:color="000000" w:sz="4" w:space="0"/>
            </w:tcBorders>
            <w:shd w:val="clear" w:color="auto" w:fill="auto"/>
            <w:noWrap w:val="0"/>
            <w:vAlign w:val="center"/>
          </w:tcPr>
          <w:p w14:paraId="55F57142">
            <w:pPr>
              <w:rPr>
                <w:rFonts w:hint="eastAsia" w:eastAsia="仿宋_GB2312"/>
                <w:b/>
                <w:snapToGrid w:val="0"/>
                <w:color w:val="000000"/>
                <w:kern w:val="0"/>
                <w:sz w:val="20"/>
                <w:szCs w:val="20"/>
              </w:rPr>
            </w:pPr>
            <w:r>
              <w:rPr>
                <w:rFonts w:hint="eastAsia" w:eastAsia="仿宋_GB2312"/>
                <w:b/>
                <w:snapToGrid w:val="0"/>
                <w:color w:val="000000"/>
                <w:kern w:val="0"/>
                <w:sz w:val="20"/>
                <w:szCs w:val="20"/>
              </w:rPr>
              <w:t>二、日常行为考核（80分）</w:t>
            </w:r>
          </w:p>
        </w:tc>
      </w:tr>
      <w:tr w14:paraId="4FEA6B10">
        <w:tblPrEx>
          <w:tblCellMar>
            <w:top w:w="0" w:type="dxa"/>
            <w:left w:w="108" w:type="dxa"/>
            <w:bottom w:w="0" w:type="dxa"/>
            <w:right w:w="108" w:type="dxa"/>
          </w:tblCellMar>
        </w:tblPrEx>
        <w:trPr>
          <w:trHeight w:val="397" w:hRule="atLeast"/>
          <w:jc w:val="center"/>
        </w:trPr>
        <w:tc>
          <w:tcPr>
            <w:tcW w:w="711" w:type="dxa"/>
            <w:tcBorders>
              <w:top w:val="nil"/>
              <w:left w:val="single" w:color="000000" w:sz="4" w:space="0"/>
              <w:bottom w:val="single" w:color="000000" w:sz="4" w:space="0"/>
              <w:right w:val="nil"/>
            </w:tcBorders>
            <w:shd w:val="clear" w:color="auto" w:fill="auto"/>
            <w:noWrap w:val="0"/>
            <w:vAlign w:val="center"/>
          </w:tcPr>
          <w:p w14:paraId="5A122086">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2.1</w:t>
            </w:r>
          </w:p>
        </w:tc>
        <w:tc>
          <w:tcPr>
            <w:tcW w:w="1230" w:type="dxa"/>
            <w:tcBorders>
              <w:top w:val="nil"/>
              <w:left w:val="single" w:color="000000" w:sz="4" w:space="0"/>
              <w:bottom w:val="single" w:color="000000" w:sz="4" w:space="0"/>
              <w:right w:val="single" w:color="000000" w:sz="4" w:space="0"/>
            </w:tcBorders>
            <w:shd w:val="clear" w:color="auto" w:fill="auto"/>
            <w:noWrap w:val="0"/>
            <w:vAlign w:val="center"/>
          </w:tcPr>
          <w:p w14:paraId="6D06E16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制度机制</w:t>
            </w:r>
          </w:p>
          <w:p w14:paraId="1A098964">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（10分）</w:t>
            </w:r>
          </w:p>
        </w:tc>
        <w:tc>
          <w:tcPr>
            <w:tcW w:w="8480" w:type="dxa"/>
            <w:tcBorders>
              <w:top w:val="nil"/>
              <w:left w:val="nil"/>
              <w:bottom w:val="single" w:color="000000" w:sz="4" w:space="0"/>
              <w:right w:val="single" w:color="000000" w:sz="4" w:space="0"/>
            </w:tcBorders>
            <w:shd w:val="clear" w:color="auto" w:fill="auto"/>
            <w:noWrap w:val="0"/>
            <w:vAlign w:val="center"/>
          </w:tcPr>
          <w:p w14:paraId="3F8E8F03">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经营者是否有完善的食品安全管理组织机构，是否制定有原料控制，餐用具清洗消毒，餐饮服务过程控制、从业人员健康管理、从业人员培训、食品安全自查，进货查验和记录、食品留样、场所及设施设备清洗消毒和维修保养，食品安全信息追溯、投诉处理等保证食品安全的制度，并制定食品安全突发事件应急处置方案。（此项建议由学校考核）</w:t>
            </w:r>
          </w:p>
        </w:tc>
      </w:tr>
      <w:tr w14:paraId="430115EB">
        <w:tblPrEx>
          <w:tblCellMar>
            <w:top w:w="0" w:type="dxa"/>
            <w:left w:w="108" w:type="dxa"/>
            <w:bottom w:w="0" w:type="dxa"/>
            <w:right w:w="108" w:type="dxa"/>
          </w:tblCellMar>
        </w:tblPrEx>
        <w:trPr>
          <w:trHeight w:val="397" w:hRule="atLeast"/>
          <w:jc w:val="center"/>
        </w:trPr>
        <w:tc>
          <w:tcPr>
            <w:tcW w:w="711" w:type="dxa"/>
            <w:tcBorders>
              <w:top w:val="nil"/>
              <w:left w:val="single" w:color="000000" w:sz="4" w:space="0"/>
              <w:bottom w:val="single" w:color="000000" w:sz="4" w:space="0"/>
              <w:right w:val="single" w:color="000000" w:sz="4" w:space="0"/>
            </w:tcBorders>
            <w:shd w:val="clear" w:color="auto" w:fill="auto"/>
            <w:noWrap/>
            <w:vAlign w:val="center"/>
          </w:tcPr>
          <w:p w14:paraId="181E254A">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2.2</w:t>
            </w:r>
          </w:p>
        </w:tc>
        <w:tc>
          <w:tcPr>
            <w:tcW w:w="1230" w:type="dxa"/>
            <w:tcBorders>
              <w:top w:val="nil"/>
              <w:left w:val="nil"/>
              <w:bottom w:val="single" w:color="000000" w:sz="4" w:space="0"/>
              <w:right w:val="single" w:color="000000" w:sz="4" w:space="0"/>
            </w:tcBorders>
            <w:shd w:val="clear" w:color="auto" w:fill="auto"/>
            <w:noWrap/>
            <w:vAlign w:val="center"/>
          </w:tcPr>
          <w:p w14:paraId="7A0D4E15">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人员管理</w:t>
            </w:r>
          </w:p>
          <w:p w14:paraId="62858B7C">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（20分）</w:t>
            </w:r>
          </w:p>
        </w:tc>
        <w:tc>
          <w:tcPr>
            <w:tcW w:w="8480" w:type="dxa"/>
            <w:tcBorders>
              <w:top w:val="nil"/>
              <w:left w:val="nil"/>
              <w:bottom w:val="single" w:color="000000" w:sz="4" w:space="0"/>
              <w:right w:val="single" w:color="000000" w:sz="4" w:space="0"/>
            </w:tcBorders>
            <w:shd w:val="clear" w:color="auto" w:fill="auto"/>
            <w:noWrap w:val="0"/>
            <w:vAlign w:val="center"/>
          </w:tcPr>
          <w:p w14:paraId="4575BFDC">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经营者是否按要求配备食品安全总监、食品安全员等食品安全管理人员，并经考核合格后上岗；接触直接入口食品从业人员是否持有有效健康证明；是否加强从业人员健康管理，是否对患有发热、呕吐、腹泻、咽部严重炎症等病症，皮肤有伤口或者感染等健康状况异常员工及时调离工作岗位；是否对食堂管理人员、从业人员定期开展培训考核。（此项建议由学校考核）</w:t>
            </w:r>
          </w:p>
        </w:tc>
      </w:tr>
      <w:tr w14:paraId="240D7F76">
        <w:tblPrEx>
          <w:tblCellMar>
            <w:top w:w="0" w:type="dxa"/>
            <w:left w:w="108" w:type="dxa"/>
            <w:bottom w:w="0" w:type="dxa"/>
            <w:right w:w="108" w:type="dxa"/>
          </w:tblCellMar>
        </w:tblPrEx>
        <w:trPr>
          <w:trHeight w:val="397" w:hRule="atLeast"/>
          <w:jc w:val="center"/>
        </w:trPr>
        <w:tc>
          <w:tcPr>
            <w:tcW w:w="711" w:type="dxa"/>
            <w:tcBorders>
              <w:top w:val="nil"/>
              <w:left w:val="single" w:color="000000" w:sz="4" w:space="0"/>
              <w:bottom w:val="single" w:color="auto" w:sz="4" w:space="0"/>
              <w:right w:val="single" w:color="000000" w:sz="4" w:space="0"/>
            </w:tcBorders>
            <w:shd w:val="clear" w:color="auto" w:fill="auto"/>
            <w:noWrap w:val="0"/>
            <w:vAlign w:val="center"/>
          </w:tcPr>
          <w:p w14:paraId="70B40287">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2.3</w:t>
            </w:r>
          </w:p>
        </w:tc>
        <w:tc>
          <w:tcPr>
            <w:tcW w:w="1230" w:type="dxa"/>
            <w:tcBorders>
              <w:top w:val="nil"/>
              <w:left w:val="nil"/>
              <w:bottom w:val="single" w:color="auto" w:sz="4" w:space="0"/>
              <w:right w:val="single" w:color="000000" w:sz="4" w:space="0"/>
            </w:tcBorders>
            <w:shd w:val="clear" w:color="auto" w:fill="auto"/>
            <w:noWrap w:val="0"/>
            <w:vAlign w:val="center"/>
          </w:tcPr>
          <w:p w14:paraId="205AE1A7">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过程控制</w:t>
            </w:r>
          </w:p>
          <w:p w14:paraId="73FFEE5F">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（30分）</w:t>
            </w:r>
          </w:p>
        </w:tc>
        <w:tc>
          <w:tcPr>
            <w:tcW w:w="8480" w:type="dxa"/>
            <w:tcBorders>
              <w:top w:val="nil"/>
              <w:left w:val="nil"/>
              <w:bottom w:val="single" w:color="auto" w:sz="4" w:space="0"/>
              <w:right w:val="single" w:color="000000" w:sz="4" w:space="0"/>
            </w:tcBorders>
            <w:shd w:val="clear" w:color="auto" w:fill="auto"/>
            <w:noWrap w:val="0"/>
            <w:vAlign w:val="center"/>
          </w:tcPr>
          <w:p w14:paraId="03C8C4AD">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经营者是否严格落实进货查验、原料贮存、加工制作、食品留样、供餐、餐饮具清洗消毒、废弃物管理、有害生物防制等各项管理制度；是否确保原料来源合法合规、安全、可追溯；是否超许可范围加工餐食；是否加工制作主管部门明令禁止加工制售的食品；是否认真执行“日管控、周排查、月调度”工作机制，针对自查、检查发现的问题及时整改。（此项建议由学校考核）</w:t>
            </w:r>
          </w:p>
        </w:tc>
      </w:tr>
      <w:tr w14:paraId="25E8D14F">
        <w:tblPrEx>
          <w:tblCellMar>
            <w:top w:w="0" w:type="dxa"/>
            <w:left w:w="108" w:type="dxa"/>
            <w:bottom w:w="0" w:type="dxa"/>
            <w:right w:w="108" w:type="dxa"/>
          </w:tblCellMar>
        </w:tblPrEx>
        <w:trPr>
          <w:trHeight w:val="397" w:hRule="atLeast"/>
          <w:jc w:val="center"/>
        </w:trPr>
        <w:tc>
          <w:tcPr>
            <w:tcW w:w="711" w:type="dxa"/>
            <w:tcBorders>
              <w:top w:val="nil"/>
              <w:left w:val="single" w:color="000000" w:sz="4" w:space="0"/>
              <w:bottom w:val="single" w:color="auto" w:sz="4" w:space="0"/>
              <w:right w:val="single" w:color="000000" w:sz="4" w:space="0"/>
            </w:tcBorders>
            <w:shd w:val="clear" w:color="auto" w:fill="auto"/>
            <w:noWrap w:val="0"/>
            <w:vAlign w:val="center"/>
          </w:tcPr>
          <w:p w14:paraId="15AD6A93">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2.4</w:t>
            </w:r>
          </w:p>
        </w:tc>
        <w:tc>
          <w:tcPr>
            <w:tcW w:w="1230" w:type="dxa"/>
            <w:tcBorders>
              <w:top w:val="nil"/>
              <w:left w:val="nil"/>
              <w:bottom w:val="single" w:color="auto" w:sz="4" w:space="0"/>
              <w:right w:val="single" w:color="000000" w:sz="4" w:space="0"/>
            </w:tcBorders>
            <w:shd w:val="clear" w:color="auto" w:fill="auto"/>
            <w:noWrap w:val="0"/>
            <w:vAlign w:val="center"/>
          </w:tcPr>
          <w:p w14:paraId="3FB25FC5">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服务质量</w:t>
            </w:r>
          </w:p>
          <w:p w14:paraId="03B0B925">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（20分）</w:t>
            </w:r>
          </w:p>
        </w:tc>
        <w:tc>
          <w:tcPr>
            <w:tcW w:w="8480" w:type="dxa"/>
            <w:tcBorders>
              <w:top w:val="nil"/>
              <w:left w:val="nil"/>
              <w:bottom w:val="single" w:color="auto" w:sz="4" w:space="0"/>
              <w:right w:val="single" w:color="000000" w:sz="4" w:space="0"/>
            </w:tcBorders>
            <w:shd w:val="clear" w:color="auto" w:fill="auto"/>
            <w:noWrap w:val="0"/>
            <w:vAlign w:val="center"/>
          </w:tcPr>
          <w:p w14:paraId="29B6060D">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经营者是否严格执行服务合同中确定的其他内容，是否存在向学校行贿或者提供其他不正当利益的其他违规行为，是否及时解决师生用餐过程中遇到的问题、及时妥善处理各类投诉，是否及时对质量不合格食品进行销毁处理，以及学校应当进行评价的其他内容。（此项建议由学校考核）</w:t>
            </w:r>
          </w:p>
        </w:tc>
      </w:tr>
      <w:tr w14:paraId="2F9CAF9F">
        <w:tblPrEx>
          <w:tblCellMar>
            <w:top w:w="0" w:type="dxa"/>
            <w:left w:w="108" w:type="dxa"/>
            <w:bottom w:w="0" w:type="dxa"/>
            <w:right w:w="108" w:type="dxa"/>
          </w:tblCellMar>
        </w:tblPrEx>
        <w:trPr>
          <w:trHeight w:val="397" w:hRule="atLeast"/>
          <w:jc w:val="center"/>
        </w:trPr>
        <w:tc>
          <w:tcPr>
            <w:tcW w:w="1042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8735341">
            <w:pPr>
              <w:rPr>
                <w:rFonts w:hint="eastAsia" w:eastAsia="仿宋_GB2312"/>
                <w:b/>
                <w:snapToGrid w:val="0"/>
                <w:color w:val="000000"/>
                <w:kern w:val="0"/>
                <w:sz w:val="20"/>
                <w:szCs w:val="20"/>
              </w:rPr>
            </w:pPr>
            <w:r>
              <w:rPr>
                <w:rFonts w:hint="eastAsia" w:eastAsia="仿宋_GB2312"/>
                <w:b/>
                <w:snapToGrid w:val="0"/>
                <w:color w:val="000000"/>
                <w:kern w:val="0"/>
                <w:sz w:val="20"/>
                <w:szCs w:val="20"/>
              </w:rPr>
              <w:t>三、一票否决项</w:t>
            </w:r>
          </w:p>
        </w:tc>
      </w:tr>
      <w:tr w14:paraId="653F293A">
        <w:tblPrEx>
          <w:tblCellMar>
            <w:top w:w="0" w:type="dxa"/>
            <w:left w:w="108" w:type="dxa"/>
            <w:bottom w:w="0" w:type="dxa"/>
            <w:right w:w="108" w:type="dxa"/>
          </w:tblCellMar>
        </w:tblPrEx>
        <w:trPr>
          <w:trHeight w:val="397" w:hRule="atLeast"/>
          <w:jc w:val="center"/>
        </w:trPr>
        <w:tc>
          <w:tcPr>
            <w:tcW w:w="711" w:type="dxa"/>
            <w:tcBorders>
              <w:top w:val="single" w:color="000000" w:sz="4" w:space="0"/>
              <w:left w:val="single" w:color="000000" w:sz="4" w:space="0"/>
              <w:bottom w:val="single" w:color="000000" w:sz="4" w:space="0"/>
              <w:right w:val="nil"/>
            </w:tcBorders>
            <w:shd w:val="clear" w:color="auto" w:fill="auto"/>
            <w:noWrap w:val="0"/>
            <w:vAlign w:val="center"/>
          </w:tcPr>
          <w:p w14:paraId="7F66A189">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81F95">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一票否决项内容</w:t>
            </w:r>
          </w:p>
        </w:tc>
        <w:tc>
          <w:tcPr>
            <w:tcW w:w="8480" w:type="dxa"/>
            <w:tcBorders>
              <w:top w:val="single" w:color="000000" w:sz="4" w:space="0"/>
              <w:left w:val="nil"/>
              <w:bottom w:val="single" w:color="000000" w:sz="4" w:space="0"/>
              <w:right w:val="single" w:color="000000" w:sz="4" w:space="0"/>
            </w:tcBorders>
            <w:shd w:val="clear" w:color="auto" w:fill="auto"/>
            <w:noWrap w:val="0"/>
            <w:vAlign w:val="center"/>
          </w:tcPr>
          <w:p w14:paraId="3724C9EB">
            <w:pPr>
              <w:rPr>
                <w:rFonts w:hint="eastAsia" w:eastAsia="仿宋_GB2312"/>
                <w:snapToGrid w:val="0"/>
                <w:color w:val="000000"/>
                <w:kern w:val="0"/>
                <w:sz w:val="20"/>
                <w:szCs w:val="20"/>
              </w:rPr>
            </w:pPr>
            <w:r>
              <w:rPr>
                <w:rFonts w:hint="eastAsia" w:eastAsia="仿宋_GB2312"/>
                <w:snapToGrid w:val="0"/>
                <w:color w:val="000000"/>
                <w:kern w:val="0"/>
                <w:sz w:val="20"/>
                <w:szCs w:val="20"/>
              </w:rPr>
              <w:t>1.通过提供虚假材料、围标串标等非法手段谋取中标、成交的。</w:t>
            </w:r>
          </w:p>
          <w:p w14:paraId="7B441C62">
            <w:pPr>
              <w:rPr>
                <w:rFonts w:hint="eastAsia" w:eastAsia="仿宋_GB2312"/>
                <w:snapToGrid w:val="0"/>
                <w:color w:val="000000"/>
                <w:kern w:val="0"/>
                <w:sz w:val="20"/>
                <w:szCs w:val="20"/>
              </w:rPr>
            </w:pPr>
            <w:r>
              <w:rPr>
                <w:rFonts w:hint="eastAsia" w:eastAsia="仿宋_GB2312"/>
                <w:snapToGrid w:val="0"/>
                <w:color w:val="000000"/>
                <w:kern w:val="0"/>
                <w:sz w:val="20"/>
                <w:szCs w:val="20"/>
              </w:rPr>
              <w:t>2.未按规定签订或者无正当理由拒绝签订采购合同，或擅自更换履约人，或对项目进行转包、违法分包的。</w:t>
            </w:r>
          </w:p>
          <w:p w14:paraId="6BDAA101">
            <w:pPr>
              <w:rPr>
                <w:rFonts w:hint="eastAsia" w:eastAsia="仿宋_GB2312"/>
                <w:snapToGrid w:val="0"/>
                <w:color w:val="000000"/>
                <w:kern w:val="0"/>
                <w:sz w:val="20"/>
                <w:szCs w:val="20"/>
              </w:rPr>
            </w:pPr>
            <w:r>
              <w:rPr>
                <w:rFonts w:hint="eastAsia" w:eastAsia="仿宋_GB2312"/>
                <w:snapToGrid w:val="0"/>
                <w:color w:val="000000"/>
                <w:kern w:val="0"/>
                <w:sz w:val="20"/>
                <w:szCs w:val="20"/>
              </w:rPr>
              <w:t>3.不履行或不当履行合同义务，造成学校经济损失，经约谈后拒不整改或无实质性改善的。</w:t>
            </w:r>
          </w:p>
          <w:p w14:paraId="419696A2">
            <w:pPr>
              <w:rPr>
                <w:rFonts w:hint="eastAsia" w:eastAsia="仿宋_GB2312"/>
                <w:snapToGrid w:val="0"/>
                <w:color w:val="000000"/>
                <w:kern w:val="0"/>
                <w:sz w:val="20"/>
                <w:szCs w:val="20"/>
              </w:rPr>
            </w:pPr>
            <w:r>
              <w:rPr>
                <w:rFonts w:hint="eastAsia" w:eastAsia="仿宋_GB2312"/>
                <w:snapToGrid w:val="0"/>
                <w:color w:val="000000"/>
                <w:kern w:val="0"/>
                <w:sz w:val="20"/>
                <w:szCs w:val="20"/>
              </w:rPr>
              <w:t>4.加工制售明知不符合食品安全标准的食品的。</w:t>
            </w:r>
          </w:p>
          <w:p w14:paraId="1C04E3E9">
            <w:pPr>
              <w:rPr>
                <w:rFonts w:hint="eastAsia" w:eastAsia="仿宋_GB2312"/>
                <w:snapToGrid w:val="0"/>
                <w:color w:val="000000"/>
                <w:kern w:val="0"/>
                <w:sz w:val="20"/>
                <w:szCs w:val="20"/>
              </w:rPr>
            </w:pPr>
            <w:r>
              <w:rPr>
                <w:rFonts w:hint="eastAsia" w:eastAsia="仿宋_GB2312"/>
                <w:snapToGrid w:val="0"/>
                <w:color w:val="000000"/>
                <w:kern w:val="0"/>
                <w:sz w:val="20"/>
                <w:szCs w:val="20"/>
              </w:rPr>
              <w:t>5.擅自变更、中止或者终止承包（委托）合同的。</w:t>
            </w:r>
          </w:p>
          <w:p w14:paraId="4F0A57A7">
            <w:pPr>
              <w:rPr>
                <w:rFonts w:hint="eastAsia" w:eastAsia="仿宋_GB2312"/>
                <w:snapToGrid w:val="0"/>
                <w:color w:val="000000"/>
                <w:kern w:val="0"/>
                <w:sz w:val="20"/>
                <w:szCs w:val="20"/>
              </w:rPr>
            </w:pPr>
            <w:r>
              <w:rPr>
                <w:rFonts w:hint="eastAsia" w:eastAsia="仿宋_GB2312"/>
                <w:snapToGrid w:val="0"/>
                <w:color w:val="000000"/>
                <w:kern w:val="0"/>
                <w:sz w:val="20"/>
                <w:szCs w:val="20"/>
              </w:rPr>
              <w:t>6.因经营者自身原因，未经协商单方面断供，并造成恶劣影响及严重后果的。</w:t>
            </w:r>
          </w:p>
          <w:p w14:paraId="358E6392">
            <w:pPr>
              <w:rPr>
                <w:rFonts w:hint="eastAsia" w:eastAsia="仿宋_GB2312"/>
                <w:snapToGrid w:val="0"/>
                <w:color w:val="000000"/>
                <w:kern w:val="0"/>
                <w:sz w:val="20"/>
                <w:szCs w:val="20"/>
              </w:rPr>
            </w:pPr>
            <w:r>
              <w:rPr>
                <w:rFonts w:hint="eastAsia" w:eastAsia="仿宋_GB2312"/>
                <w:snapToGrid w:val="0"/>
                <w:color w:val="000000"/>
                <w:kern w:val="0"/>
                <w:sz w:val="20"/>
                <w:szCs w:val="20"/>
              </w:rPr>
              <w:t>7.拒绝依法依规实施的监督检查或者在监督检查中提供虚假情况的。</w:t>
            </w:r>
          </w:p>
          <w:p w14:paraId="344760D2">
            <w:pPr>
              <w:rPr>
                <w:rFonts w:hint="eastAsia" w:eastAsia="仿宋_GB2312"/>
                <w:snapToGrid w:val="0"/>
                <w:color w:val="000000"/>
                <w:kern w:val="0"/>
                <w:sz w:val="20"/>
                <w:szCs w:val="20"/>
              </w:rPr>
            </w:pPr>
            <w:r>
              <w:rPr>
                <w:rFonts w:hint="eastAsia" w:eastAsia="仿宋_GB2312"/>
                <w:snapToGrid w:val="0"/>
                <w:color w:val="000000"/>
                <w:kern w:val="0"/>
                <w:sz w:val="20"/>
                <w:szCs w:val="20"/>
              </w:rPr>
              <w:t>8.存在财务造假、重大财会违规等问题的。</w:t>
            </w:r>
          </w:p>
          <w:p w14:paraId="11721A1C">
            <w:pPr>
              <w:rPr>
                <w:rFonts w:hint="eastAsia" w:eastAsia="仿宋_GB2312"/>
                <w:snapToGrid w:val="0"/>
                <w:color w:val="000000"/>
                <w:kern w:val="0"/>
                <w:sz w:val="20"/>
                <w:szCs w:val="20"/>
              </w:rPr>
            </w:pPr>
            <w:r>
              <w:rPr>
                <w:rFonts w:hint="eastAsia" w:eastAsia="仿宋_GB2312"/>
                <w:snapToGrid w:val="0"/>
                <w:color w:val="000000"/>
                <w:kern w:val="0"/>
                <w:sz w:val="20"/>
                <w:szCs w:val="20"/>
              </w:rPr>
              <w:t>9.被列入严重违法失信名单或食品安全信用等级评定为严重失信的。</w:t>
            </w:r>
          </w:p>
          <w:p w14:paraId="0115BCC9">
            <w:pPr>
              <w:rPr>
                <w:rFonts w:hint="eastAsia" w:eastAsia="仿宋_GB2312"/>
                <w:snapToGrid w:val="0"/>
                <w:color w:val="000000"/>
                <w:kern w:val="0"/>
                <w:sz w:val="20"/>
                <w:szCs w:val="20"/>
              </w:rPr>
            </w:pPr>
            <w:r>
              <w:rPr>
                <w:rFonts w:hint="eastAsia" w:eastAsia="仿宋_GB2312"/>
                <w:snapToGrid w:val="0"/>
                <w:color w:val="000000"/>
                <w:kern w:val="0"/>
                <w:sz w:val="20"/>
                <w:szCs w:val="20"/>
              </w:rPr>
              <w:t>10.违反食品安全法律法规，被市场监管部门吊销食品经营许可证的，或违反相关法律法规，被登记机关吊销营业执照的。</w:t>
            </w:r>
          </w:p>
          <w:p w14:paraId="483347A3">
            <w:pPr>
              <w:rPr>
                <w:rFonts w:hint="eastAsia" w:eastAsia="仿宋_GB2312"/>
                <w:snapToGrid w:val="0"/>
                <w:color w:val="000000"/>
                <w:kern w:val="0"/>
                <w:sz w:val="20"/>
                <w:szCs w:val="20"/>
              </w:rPr>
            </w:pPr>
            <w:r>
              <w:rPr>
                <w:rFonts w:hint="eastAsia" w:eastAsia="仿宋_GB2312"/>
                <w:snapToGrid w:val="0"/>
                <w:color w:val="000000"/>
                <w:kern w:val="0"/>
                <w:sz w:val="20"/>
                <w:szCs w:val="20"/>
              </w:rPr>
              <w:t>11.服务期内因经营管理直接引发食品安全责任事故或查实敏感及以上食品安全负面舆情事件。</w:t>
            </w:r>
          </w:p>
          <w:p w14:paraId="43C14F40">
            <w:pPr>
              <w:rPr>
                <w:rFonts w:hint="eastAsia" w:eastAsia="仿宋_GB2312"/>
                <w:snapToGrid w:val="0"/>
                <w:color w:val="000000"/>
                <w:kern w:val="0"/>
                <w:sz w:val="20"/>
                <w:szCs w:val="20"/>
              </w:rPr>
            </w:pPr>
            <w:r>
              <w:rPr>
                <w:rFonts w:hint="eastAsia" w:eastAsia="仿宋_GB2312"/>
                <w:snapToGrid w:val="0"/>
                <w:color w:val="000000"/>
                <w:kern w:val="0"/>
                <w:sz w:val="20"/>
                <w:szCs w:val="20"/>
              </w:rPr>
              <w:t>（此项建议由采购人组织考核，可结合实际完善指标）</w:t>
            </w:r>
          </w:p>
        </w:tc>
      </w:tr>
    </w:tbl>
    <w:p w14:paraId="6916D7C7">
      <w:pPr>
        <w:rPr>
          <w:rFonts w:hint="eastAsia" w:eastAsia="仿宋_GB2312"/>
          <w:snapToGrid w:val="0"/>
          <w:color w:val="000000"/>
          <w:kern w:val="0"/>
          <w:sz w:val="20"/>
          <w:szCs w:val="20"/>
        </w:rPr>
      </w:pPr>
      <w:r>
        <w:rPr>
          <w:rFonts w:hint="eastAsia" w:eastAsia="仿宋_GB2312"/>
          <w:snapToGrid w:val="0"/>
          <w:color w:val="000000"/>
          <w:kern w:val="0"/>
          <w:sz w:val="20"/>
          <w:szCs w:val="20"/>
        </w:rPr>
        <w:t>注：1.评价工作要点供参考，采购人根据实际情况调整，完善细化。鼓励采用百分制计分，建议日常行为评价分值不低于80分，评价总分值低于70分为不合格。涉及“一票否决项内容”直接评价为不合格。2.学校食堂采用劳务外包或劳务派遣等用工方式的，可以参照实施评价工作。</w:t>
      </w:r>
    </w:p>
    <w:p w14:paraId="39D74B70">
      <w:pPr>
        <w:rPr>
          <w:rFonts w:hint="eastAsia" w:ascii="仿宋_GB2312" w:eastAsia="仿宋_GB2312"/>
          <w:bCs/>
          <w:snapToGrid w:val="0"/>
          <w:color w:val="000000"/>
          <w:kern w:val="0"/>
          <w:sz w:val="20"/>
          <w:szCs w:val="20"/>
        </w:rPr>
      </w:pPr>
      <w:bookmarkStart w:id="0" w:name="_GoBack"/>
      <w:bookmarkEnd w:id="0"/>
    </w:p>
    <w:sectPr>
      <w:footerReference r:id="rId3" w:type="default"/>
      <w:footerReference r:id="rId4" w:type="even"/>
      <w:pgSz w:w="11906" w:h="16838"/>
      <w:pgMar w:top="2098" w:right="1474" w:bottom="1984" w:left="1587" w:header="1701" w:footer="1587" w:gutter="0"/>
      <w:cols w:space="1701"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78B27">
    <w:pPr>
      <w:pStyle w:val="227"/>
      <w:framePr w:wrap="around" w:vAnchor="text" w:hAnchor="margin" w:xAlign="outside" w:y="1"/>
      <w:ind w:right="320" w:rightChars="100"/>
      <w:rPr>
        <w:rStyle w:val="233"/>
        <w:rFonts w:ascii="宋体" w:hAnsi="宋体"/>
        <w:sz w:val="28"/>
        <w:szCs w:val="28"/>
      </w:rPr>
    </w:pPr>
    <w:r>
      <w:rPr>
        <w:rStyle w:val="233"/>
        <w:rFonts w:hint="eastAsia" w:ascii="宋体" w:hAnsi="宋体"/>
        <w:sz w:val="28"/>
        <w:szCs w:val="28"/>
      </w:rPr>
      <w:t xml:space="preserve">— </w:t>
    </w:r>
    <w:r>
      <w:rPr>
        <w:rStyle w:val="233"/>
        <w:rFonts w:ascii="宋体" w:hAnsi="宋体"/>
        <w:sz w:val="28"/>
        <w:szCs w:val="28"/>
      </w:rPr>
      <w:fldChar w:fldCharType="begin"/>
    </w:r>
    <w:r>
      <w:rPr>
        <w:rStyle w:val="233"/>
        <w:rFonts w:ascii="宋体" w:hAnsi="宋体"/>
        <w:sz w:val="28"/>
        <w:szCs w:val="28"/>
      </w:rPr>
      <w:instrText xml:space="preserve">PAGE  </w:instrText>
    </w:r>
    <w:r>
      <w:rPr>
        <w:rStyle w:val="233"/>
        <w:rFonts w:ascii="宋体" w:hAnsi="宋体"/>
        <w:sz w:val="28"/>
        <w:szCs w:val="28"/>
      </w:rPr>
      <w:fldChar w:fldCharType="separate"/>
    </w:r>
    <w:r>
      <w:rPr>
        <w:rStyle w:val="233"/>
        <w:rFonts w:ascii="宋体" w:hAnsi="宋体"/>
        <w:sz w:val="28"/>
        <w:szCs w:val="28"/>
      </w:rPr>
      <w:t>7</w:t>
    </w:r>
    <w:r>
      <w:rPr>
        <w:rStyle w:val="233"/>
        <w:rFonts w:ascii="宋体" w:hAnsi="宋体"/>
        <w:sz w:val="28"/>
        <w:szCs w:val="28"/>
      </w:rPr>
      <w:fldChar w:fldCharType="end"/>
    </w:r>
    <w:r>
      <w:rPr>
        <w:rStyle w:val="233"/>
        <w:rFonts w:hint="eastAsia" w:ascii="宋体" w:hAnsi="宋体"/>
        <w:sz w:val="28"/>
        <w:szCs w:val="28"/>
      </w:rPr>
      <w:t xml:space="preserve"> —</w:t>
    </w:r>
  </w:p>
  <w:p w14:paraId="78729EA4">
    <w:pPr>
      <w:pStyle w:val="227"/>
      <w:ind w:right="567" w:firstLine="35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D30CB">
    <w:pPr>
      <w:pStyle w:val="227"/>
      <w:framePr w:wrap="around" w:vAnchor="text" w:hAnchor="margin" w:xAlign="outside" w:y="1"/>
      <w:ind w:left="320" w:leftChars="100"/>
      <w:rPr>
        <w:rStyle w:val="233"/>
        <w:rFonts w:ascii="宋体" w:hAnsi="宋体"/>
        <w:sz w:val="28"/>
        <w:szCs w:val="28"/>
      </w:rPr>
    </w:pPr>
    <w:r>
      <w:rPr>
        <w:rStyle w:val="233"/>
        <w:rFonts w:hint="eastAsia" w:ascii="宋体" w:hAnsi="宋体"/>
        <w:sz w:val="28"/>
        <w:szCs w:val="28"/>
      </w:rPr>
      <w:t xml:space="preserve">— </w:t>
    </w:r>
    <w:r>
      <w:rPr>
        <w:rStyle w:val="233"/>
        <w:rFonts w:ascii="宋体" w:hAnsi="宋体"/>
        <w:sz w:val="28"/>
        <w:szCs w:val="28"/>
      </w:rPr>
      <w:fldChar w:fldCharType="begin"/>
    </w:r>
    <w:r>
      <w:rPr>
        <w:rStyle w:val="233"/>
        <w:rFonts w:ascii="宋体" w:hAnsi="宋体"/>
        <w:sz w:val="28"/>
        <w:szCs w:val="28"/>
      </w:rPr>
      <w:instrText xml:space="preserve">PAGE  </w:instrText>
    </w:r>
    <w:r>
      <w:rPr>
        <w:rStyle w:val="233"/>
        <w:rFonts w:ascii="宋体" w:hAnsi="宋体"/>
        <w:sz w:val="28"/>
        <w:szCs w:val="28"/>
      </w:rPr>
      <w:fldChar w:fldCharType="separate"/>
    </w:r>
    <w:r>
      <w:rPr>
        <w:rStyle w:val="233"/>
        <w:rFonts w:ascii="宋体" w:hAnsi="宋体"/>
        <w:sz w:val="28"/>
        <w:szCs w:val="28"/>
      </w:rPr>
      <w:t>2</w:t>
    </w:r>
    <w:r>
      <w:rPr>
        <w:rStyle w:val="233"/>
        <w:rFonts w:ascii="宋体" w:hAnsi="宋体"/>
        <w:sz w:val="28"/>
        <w:szCs w:val="28"/>
      </w:rPr>
      <w:fldChar w:fldCharType="end"/>
    </w:r>
    <w:r>
      <w:rPr>
        <w:rStyle w:val="233"/>
        <w:rFonts w:hint="eastAsia" w:ascii="宋体" w:hAnsi="宋体"/>
        <w:sz w:val="28"/>
        <w:szCs w:val="28"/>
      </w:rPr>
      <w:t xml:space="preserve"> —</w:t>
    </w:r>
  </w:p>
  <w:p w14:paraId="5B4C3472">
    <w:pPr>
      <w:pStyle w:val="227"/>
      <w:rPr>
        <w:rFonts w:ascii="宋体" w:hAnsi="宋体"/>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revisionView w:markup="0"/>
  <w:documentProtection w:enforcement="0"/>
  <w:defaultTabStop w:val="420"/>
  <w:evenAndOddHeaders w:val="1"/>
  <w:drawingGridHorizontalSpacing w:val="0"/>
  <w:drawingGridVerticalSpacing w:val="435"/>
  <w:displayHorizontalDrawingGridEvery w:val="0"/>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FDFAD9"/>
    <w:rsid w:val="5F9B50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kern w:val="2"/>
      <w:sz w:val="32"/>
      <w:szCs w:val="32"/>
    </w:rPr>
  </w:style>
  <w:style w:type="paragraph" w:styleId="2">
    <w:name w:val="heading 1"/>
    <w:basedOn w:val="1"/>
    <w:next w:val="1"/>
    <w:link w:val="7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7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7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7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7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7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7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8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8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semiHidden/>
    <w:unhideWhenUsed/>
    <w:qFormat/>
    <w:uiPriority w:val="1"/>
  </w:style>
  <w:style w:type="table" w:default="1" w:styleId="28">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pPr>
  </w:style>
  <w:style w:type="paragraph" w:styleId="14">
    <w:name w:val="toc 3"/>
    <w:basedOn w:val="1"/>
    <w:next w:val="1"/>
    <w:unhideWhenUsed/>
    <w:qFormat/>
    <w:uiPriority w:val="39"/>
    <w:pPr>
      <w:spacing w:after="57"/>
      <w:ind w:left="567"/>
    </w:pPr>
  </w:style>
  <w:style w:type="paragraph" w:styleId="15">
    <w:name w:val="toc 8"/>
    <w:basedOn w:val="1"/>
    <w:next w:val="1"/>
    <w:unhideWhenUsed/>
    <w:qFormat/>
    <w:uiPriority w:val="39"/>
    <w:pPr>
      <w:spacing w:after="57"/>
      <w:ind w:left="1984"/>
    </w:pPr>
  </w:style>
  <w:style w:type="paragraph" w:styleId="16">
    <w:name w:val="endnote text"/>
    <w:basedOn w:val="1"/>
    <w:link w:val="219"/>
    <w:semiHidden/>
    <w:unhideWhenUsed/>
    <w:qFormat/>
    <w:uiPriority w:val="99"/>
    <w:rPr>
      <w:sz w:val="20"/>
    </w:rPr>
  </w:style>
  <w:style w:type="paragraph" w:styleId="17">
    <w:name w:val="footer"/>
    <w:basedOn w:val="1"/>
    <w:link w:val="92"/>
    <w:unhideWhenUsed/>
    <w:qFormat/>
    <w:uiPriority w:val="99"/>
    <w:pPr>
      <w:tabs>
        <w:tab w:val="center" w:pos="7143"/>
        <w:tab w:val="right" w:pos="14287"/>
      </w:tabs>
    </w:pPr>
  </w:style>
  <w:style w:type="paragraph" w:styleId="18">
    <w:name w:val="header"/>
    <w:basedOn w:val="1"/>
    <w:link w:val="90"/>
    <w:unhideWhenUsed/>
    <w:qFormat/>
    <w:uiPriority w:val="99"/>
    <w:pPr>
      <w:tabs>
        <w:tab w:val="center" w:pos="7143"/>
        <w:tab w:val="right" w:pos="14287"/>
      </w:tabs>
    </w:pPr>
  </w:style>
  <w:style w:type="paragraph" w:styleId="19">
    <w:name w:val="toc 1"/>
    <w:basedOn w:val="1"/>
    <w:next w:val="1"/>
    <w:unhideWhenUsed/>
    <w:qFormat/>
    <w:uiPriority w:val="39"/>
    <w:pPr>
      <w:spacing w:after="57"/>
    </w:pPr>
  </w:style>
  <w:style w:type="paragraph" w:styleId="20">
    <w:name w:val="toc 4"/>
    <w:basedOn w:val="1"/>
    <w:next w:val="1"/>
    <w:unhideWhenUsed/>
    <w:qFormat/>
    <w:uiPriority w:val="39"/>
    <w:pPr>
      <w:spacing w:after="57"/>
      <w:ind w:left="850"/>
    </w:pPr>
  </w:style>
  <w:style w:type="paragraph" w:styleId="21">
    <w:name w:val="Subtitle"/>
    <w:basedOn w:val="1"/>
    <w:next w:val="1"/>
    <w:link w:val="85"/>
    <w:qFormat/>
    <w:uiPriority w:val="11"/>
    <w:pPr>
      <w:spacing w:before="200" w:after="200"/>
    </w:pPr>
    <w:rPr>
      <w:sz w:val="24"/>
      <w:szCs w:val="24"/>
    </w:rPr>
  </w:style>
  <w:style w:type="paragraph" w:styleId="22">
    <w:name w:val="footnote text"/>
    <w:basedOn w:val="1"/>
    <w:link w:val="218"/>
    <w:semiHidden/>
    <w:unhideWhenUsed/>
    <w:qFormat/>
    <w:uiPriority w:val="99"/>
    <w:pPr>
      <w:spacing w:after="40"/>
    </w:pPr>
    <w:rPr>
      <w:sz w:val="18"/>
    </w:rPr>
  </w:style>
  <w:style w:type="paragraph" w:styleId="23">
    <w:name w:val="toc 6"/>
    <w:basedOn w:val="1"/>
    <w:next w:val="1"/>
    <w:unhideWhenUsed/>
    <w:qFormat/>
    <w:uiPriority w:val="39"/>
    <w:pPr>
      <w:spacing w:after="57"/>
      <w:ind w:left="1417"/>
    </w:pPr>
  </w:style>
  <w:style w:type="paragraph" w:styleId="24">
    <w:name w:val="table of figures"/>
    <w:basedOn w:val="1"/>
    <w:next w:val="1"/>
    <w:unhideWhenUsed/>
    <w:qFormat/>
    <w:uiPriority w:val="99"/>
  </w:style>
  <w:style w:type="paragraph" w:styleId="25">
    <w:name w:val="toc 2"/>
    <w:basedOn w:val="1"/>
    <w:next w:val="1"/>
    <w:unhideWhenUsed/>
    <w:qFormat/>
    <w:uiPriority w:val="39"/>
    <w:pPr>
      <w:spacing w:after="57"/>
      <w:ind w:left="283"/>
    </w:pPr>
  </w:style>
  <w:style w:type="paragraph" w:styleId="26">
    <w:name w:val="toc 9"/>
    <w:basedOn w:val="1"/>
    <w:next w:val="1"/>
    <w:unhideWhenUsed/>
    <w:qFormat/>
    <w:uiPriority w:val="39"/>
    <w:pPr>
      <w:spacing w:after="57"/>
      <w:ind w:left="2268"/>
    </w:pPr>
  </w:style>
  <w:style w:type="paragraph" w:styleId="27">
    <w:name w:val="Title"/>
    <w:basedOn w:val="1"/>
    <w:next w:val="1"/>
    <w:link w:val="84"/>
    <w:qFormat/>
    <w:uiPriority w:val="10"/>
    <w:pPr>
      <w:spacing w:before="300" w:after="200"/>
      <w:contextualSpacing/>
    </w:pPr>
    <w:rPr>
      <w:sz w:val="48"/>
      <w:szCs w:val="48"/>
    </w:rPr>
  </w:style>
  <w:style w:type="table" w:styleId="29">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1">
    <w:name w:val="endnote reference"/>
    <w:semiHidden/>
    <w:unhideWhenUsed/>
    <w:qFormat/>
    <w:uiPriority w:val="99"/>
    <w:rPr>
      <w:vertAlign w:val="superscript"/>
    </w:rPr>
  </w:style>
  <w:style w:type="character" w:styleId="32">
    <w:name w:val="Hyperlink"/>
    <w:unhideWhenUsed/>
    <w:qFormat/>
    <w:uiPriority w:val="99"/>
    <w:rPr>
      <w:color w:val="0000FF" w:themeColor="hyperlink"/>
      <w:u w:val="single"/>
      <w14:textFill>
        <w14:solidFill>
          <w14:schemeClr w14:val="hlink"/>
        </w14:solidFill>
      </w14:textFill>
    </w:rPr>
  </w:style>
  <w:style w:type="character" w:styleId="33">
    <w:name w:val="footnote reference"/>
    <w:unhideWhenUsed/>
    <w:qFormat/>
    <w:uiPriority w:val="99"/>
    <w:rPr>
      <w:vertAlign w:val="superscript"/>
    </w:rPr>
  </w:style>
  <w:style w:type="paragraph" w:customStyle="1" w:styleId="34">
    <w:name w:val="TOC Heading"/>
    <w:unhideWhenUsed/>
    <w:qFormat/>
    <w:uiPriority w:val="39"/>
    <w:rPr>
      <w:rFonts w:hint="default" w:ascii="Times New Roman" w:hAnsi="Times New Roman" w:eastAsia="宋体" w:cs="Times New Roman"/>
    </w:rPr>
  </w:style>
  <w:style w:type="paragraph" w:customStyle="1" w:styleId="35">
    <w:name w:val="正文文本1"/>
    <w:basedOn w:val="1"/>
    <w:qFormat/>
    <w:uiPriority w:val="0"/>
    <w:pPr>
      <w:spacing w:after="120"/>
    </w:pPr>
    <w:rPr>
      <w:kern w:val="0"/>
      <w:sz w:val="20"/>
    </w:rPr>
  </w:style>
  <w:style w:type="character" w:customStyle="1" w:styleId="36">
    <w:name w:val="Heading 1 Char"/>
    <w:basedOn w:val="30"/>
    <w:qFormat/>
    <w:uiPriority w:val="9"/>
    <w:rPr>
      <w:rFonts w:ascii="Arial" w:hAnsi="Arial" w:eastAsia="Arial" w:cs="Arial"/>
      <w:sz w:val="40"/>
      <w:szCs w:val="40"/>
    </w:rPr>
  </w:style>
  <w:style w:type="character" w:customStyle="1" w:styleId="37">
    <w:name w:val="Heading 2 Char"/>
    <w:basedOn w:val="30"/>
    <w:qFormat/>
    <w:uiPriority w:val="9"/>
    <w:rPr>
      <w:rFonts w:ascii="Arial" w:hAnsi="Arial" w:eastAsia="Arial" w:cs="Arial"/>
      <w:sz w:val="34"/>
    </w:rPr>
  </w:style>
  <w:style w:type="character" w:customStyle="1" w:styleId="38">
    <w:name w:val="Heading 3 Char"/>
    <w:basedOn w:val="30"/>
    <w:qFormat/>
    <w:uiPriority w:val="9"/>
    <w:rPr>
      <w:rFonts w:ascii="Arial" w:hAnsi="Arial" w:eastAsia="Arial" w:cs="Arial"/>
      <w:sz w:val="30"/>
      <w:szCs w:val="30"/>
    </w:rPr>
  </w:style>
  <w:style w:type="character" w:customStyle="1" w:styleId="39">
    <w:name w:val="Heading 4 Char"/>
    <w:basedOn w:val="30"/>
    <w:qFormat/>
    <w:uiPriority w:val="9"/>
    <w:rPr>
      <w:rFonts w:ascii="Arial" w:hAnsi="Arial" w:eastAsia="Arial" w:cs="Arial"/>
      <w:b/>
      <w:bCs/>
      <w:sz w:val="26"/>
      <w:szCs w:val="26"/>
    </w:rPr>
  </w:style>
  <w:style w:type="character" w:customStyle="1" w:styleId="40">
    <w:name w:val="Heading 5 Char"/>
    <w:basedOn w:val="30"/>
    <w:uiPriority w:val="9"/>
    <w:rPr>
      <w:rFonts w:ascii="Arial" w:hAnsi="Arial" w:eastAsia="Arial" w:cs="Arial"/>
      <w:b/>
      <w:bCs/>
      <w:sz w:val="24"/>
      <w:szCs w:val="24"/>
    </w:rPr>
  </w:style>
  <w:style w:type="character" w:customStyle="1" w:styleId="41">
    <w:name w:val="Heading 6 Char"/>
    <w:basedOn w:val="30"/>
    <w:qFormat/>
    <w:uiPriority w:val="9"/>
    <w:rPr>
      <w:rFonts w:ascii="Arial" w:hAnsi="Arial" w:eastAsia="Arial" w:cs="Arial"/>
      <w:b/>
      <w:bCs/>
      <w:sz w:val="22"/>
      <w:szCs w:val="22"/>
    </w:rPr>
  </w:style>
  <w:style w:type="character" w:customStyle="1" w:styleId="42">
    <w:name w:val="Heading 7 Char"/>
    <w:basedOn w:val="30"/>
    <w:qFormat/>
    <w:uiPriority w:val="9"/>
    <w:rPr>
      <w:rFonts w:ascii="Arial" w:hAnsi="Arial" w:eastAsia="Arial" w:cs="Arial"/>
      <w:b/>
      <w:bCs/>
      <w:i/>
      <w:iCs/>
      <w:sz w:val="22"/>
      <w:szCs w:val="22"/>
    </w:rPr>
  </w:style>
  <w:style w:type="character" w:customStyle="1" w:styleId="43">
    <w:name w:val="Heading 8 Char"/>
    <w:basedOn w:val="30"/>
    <w:uiPriority w:val="9"/>
    <w:rPr>
      <w:rFonts w:ascii="Arial" w:hAnsi="Arial" w:eastAsia="Arial" w:cs="Arial"/>
      <w:i/>
      <w:iCs/>
      <w:sz w:val="22"/>
      <w:szCs w:val="22"/>
    </w:rPr>
  </w:style>
  <w:style w:type="character" w:customStyle="1" w:styleId="44">
    <w:name w:val="Heading 9 Char"/>
    <w:basedOn w:val="30"/>
    <w:qFormat/>
    <w:uiPriority w:val="9"/>
    <w:rPr>
      <w:rFonts w:ascii="Arial" w:hAnsi="Arial" w:eastAsia="Arial" w:cs="Arial"/>
      <w:i/>
      <w:iCs/>
      <w:sz w:val="21"/>
      <w:szCs w:val="21"/>
    </w:rPr>
  </w:style>
  <w:style w:type="character" w:customStyle="1" w:styleId="45">
    <w:name w:val="Title Char"/>
    <w:basedOn w:val="30"/>
    <w:qFormat/>
    <w:uiPriority w:val="10"/>
    <w:rPr>
      <w:sz w:val="48"/>
      <w:szCs w:val="48"/>
    </w:rPr>
  </w:style>
  <w:style w:type="character" w:customStyle="1" w:styleId="46">
    <w:name w:val="Subtitle Char"/>
    <w:basedOn w:val="30"/>
    <w:qFormat/>
    <w:uiPriority w:val="11"/>
    <w:rPr>
      <w:sz w:val="24"/>
      <w:szCs w:val="24"/>
    </w:rPr>
  </w:style>
  <w:style w:type="character" w:customStyle="1" w:styleId="47">
    <w:name w:val="Quote Char"/>
    <w:qFormat/>
    <w:uiPriority w:val="29"/>
    <w:rPr>
      <w:i/>
    </w:rPr>
  </w:style>
  <w:style w:type="character" w:customStyle="1" w:styleId="48">
    <w:name w:val="Intense Quote Char"/>
    <w:qFormat/>
    <w:uiPriority w:val="30"/>
    <w:rPr>
      <w:i/>
    </w:rPr>
  </w:style>
  <w:style w:type="character" w:customStyle="1" w:styleId="49">
    <w:name w:val="Header Char"/>
    <w:basedOn w:val="30"/>
    <w:qFormat/>
    <w:uiPriority w:val="99"/>
  </w:style>
  <w:style w:type="character" w:customStyle="1" w:styleId="50">
    <w:name w:val="Caption Char"/>
    <w:qFormat/>
    <w:uiPriority w:val="99"/>
  </w:style>
  <w:style w:type="table" w:customStyle="1" w:styleId="51">
    <w:name w:val="Plain Table 1"/>
    <w:basedOn w:val="28"/>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2">
    <w:name w:val="Plain Table 2"/>
    <w:basedOn w:val="28"/>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3">
    <w:name w:val="Plain Table 3"/>
    <w:basedOn w:val="28"/>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4">
    <w:name w:val="Plain Table 4"/>
    <w:basedOn w:val="28"/>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5">
    <w:name w:val="Plain Table 5"/>
    <w:basedOn w:val="28"/>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6">
    <w:name w:val="Grid Table 1 Light"/>
    <w:basedOn w:val="28"/>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7">
    <w:name w:val="Grid Table 2"/>
    <w:basedOn w:val="28"/>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8">
    <w:name w:val="Grid Table 3"/>
    <w:basedOn w:val="28"/>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9">
    <w:name w:val="Grid Table 4"/>
    <w:basedOn w:val="28"/>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0">
    <w:name w:val="Grid Table 5 Dark"/>
    <w:basedOn w:val="28"/>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1">
    <w:name w:val="Grid Table 6 Colorful"/>
    <w:basedOn w:val="28"/>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2">
    <w:name w:val="Grid Table 7 Colorful"/>
    <w:basedOn w:val="28"/>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3">
    <w:name w:val="List Table 1 Light"/>
    <w:basedOn w:val="28"/>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64">
    <w:name w:val="List Table 2"/>
    <w:basedOn w:val="28"/>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5">
    <w:name w:val="List Table 3"/>
    <w:basedOn w:val="28"/>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66">
    <w:name w:val="List Table 4"/>
    <w:basedOn w:val="28"/>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7">
    <w:name w:val="List Table 5 Dark"/>
    <w:basedOn w:val="28"/>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68">
    <w:name w:val="List Table 6 Colorful"/>
    <w:basedOn w:val="28"/>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69">
    <w:name w:val="List Table 7 Colorful"/>
    <w:basedOn w:val="28"/>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70">
    <w:name w:val="Footnote Text Char"/>
    <w:qFormat/>
    <w:uiPriority w:val="99"/>
    <w:rPr>
      <w:sz w:val="18"/>
    </w:rPr>
  </w:style>
  <w:style w:type="character" w:customStyle="1" w:styleId="71">
    <w:name w:val="Endnote Text Char"/>
    <w:uiPriority w:val="99"/>
    <w:rPr>
      <w:sz w:val="20"/>
    </w:rPr>
  </w:style>
  <w:style w:type="paragraph" w:customStyle="1" w:styleId="72">
    <w:name w:val="TOC 标题1"/>
    <w:unhideWhenUsed/>
    <w:qFormat/>
    <w:uiPriority w:val="39"/>
    <w:rPr>
      <w:rFonts w:hint="default" w:ascii="Times New Roman" w:hAnsi="Times New Roman" w:eastAsia="宋体" w:cs="Times New Roman"/>
    </w:rPr>
  </w:style>
  <w:style w:type="character" w:customStyle="1" w:styleId="73">
    <w:name w:val="标题 1 Char"/>
    <w:link w:val="2"/>
    <w:qFormat/>
    <w:uiPriority w:val="9"/>
    <w:rPr>
      <w:rFonts w:ascii="Arial" w:hAnsi="Arial" w:eastAsia="Arial" w:cs="Arial"/>
      <w:sz w:val="40"/>
      <w:szCs w:val="40"/>
    </w:rPr>
  </w:style>
  <w:style w:type="character" w:customStyle="1" w:styleId="74">
    <w:name w:val="标题 2 Char"/>
    <w:link w:val="3"/>
    <w:qFormat/>
    <w:uiPriority w:val="9"/>
    <w:rPr>
      <w:rFonts w:ascii="Arial" w:hAnsi="Arial" w:eastAsia="Arial" w:cs="Arial"/>
      <w:sz w:val="34"/>
    </w:rPr>
  </w:style>
  <w:style w:type="character" w:customStyle="1" w:styleId="75">
    <w:name w:val="标题 3 Char"/>
    <w:link w:val="4"/>
    <w:qFormat/>
    <w:uiPriority w:val="9"/>
    <w:rPr>
      <w:rFonts w:ascii="Arial" w:hAnsi="Arial" w:eastAsia="Arial" w:cs="Arial"/>
      <w:sz w:val="30"/>
      <w:szCs w:val="30"/>
    </w:rPr>
  </w:style>
  <w:style w:type="character" w:customStyle="1" w:styleId="76">
    <w:name w:val="标题 4 Char"/>
    <w:link w:val="5"/>
    <w:qFormat/>
    <w:uiPriority w:val="9"/>
    <w:rPr>
      <w:rFonts w:ascii="Arial" w:hAnsi="Arial" w:eastAsia="Arial" w:cs="Arial"/>
      <w:b/>
      <w:bCs/>
      <w:sz w:val="26"/>
      <w:szCs w:val="26"/>
    </w:rPr>
  </w:style>
  <w:style w:type="character" w:customStyle="1" w:styleId="77">
    <w:name w:val="标题 5 Char"/>
    <w:link w:val="6"/>
    <w:qFormat/>
    <w:uiPriority w:val="9"/>
    <w:rPr>
      <w:rFonts w:ascii="Arial" w:hAnsi="Arial" w:eastAsia="Arial" w:cs="Arial"/>
      <w:b/>
      <w:bCs/>
      <w:sz w:val="24"/>
      <w:szCs w:val="24"/>
    </w:rPr>
  </w:style>
  <w:style w:type="character" w:customStyle="1" w:styleId="78">
    <w:name w:val="标题 6 Char"/>
    <w:link w:val="7"/>
    <w:qFormat/>
    <w:uiPriority w:val="9"/>
    <w:rPr>
      <w:rFonts w:ascii="Arial" w:hAnsi="Arial" w:eastAsia="Arial" w:cs="Arial"/>
      <w:b/>
      <w:bCs/>
      <w:sz w:val="22"/>
      <w:szCs w:val="22"/>
    </w:rPr>
  </w:style>
  <w:style w:type="character" w:customStyle="1" w:styleId="79">
    <w:name w:val="标题 7 Char"/>
    <w:link w:val="8"/>
    <w:qFormat/>
    <w:uiPriority w:val="9"/>
    <w:rPr>
      <w:rFonts w:ascii="Arial" w:hAnsi="Arial" w:eastAsia="Arial" w:cs="Arial"/>
      <w:b/>
      <w:bCs/>
      <w:i/>
      <w:iCs/>
      <w:sz w:val="22"/>
      <w:szCs w:val="22"/>
    </w:rPr>
  </w:style>
  <w:style w:type="character" w:customStyle="1" w:styleId="80">
    <w:name w:val="标题 8 Char"/>
    <w:link w:val="9"/>
    <w:qFormat/>
    <w:uiPriority w:val="9"/>
    <w:rPr>
      <w:rFonts w:ascii="Arial" w:hAnsi="Arial" w:eastAsia="Arial" w:cs="Arial"/>
      <w:i/>
      <w:iCs/>
      <w:sz w:val="22"/>
      <w:szCs w:val="22"/>
    </w:rPr>
  </w:style>
  <w:style w:type="character" w:customStyle="1" w:styleId="81">
    <w:name w:val="标题 9 Char"/>
    <w:link w:val="10"/>
    <w:qFormat/>
    <w:uiPriority w:val="9"/>
    <w:rPr>
      <w:rFonts w:ascii="Arial" w:hAnsi="Arial" w:eastAsia="Arial" w:cs="Arial"/>
      <w:i/>
      <w:iCs/>
      <w:sz w:val="21"/>
      <w:szCs w:val="21"/>
    </w:rPr>
  </w:style>
  <w:style w:type="paragraph" w:styleId="82">
    <w:name w:val="List Paragraph"/>
    <w:basedOn w:val="1"/>
    <w:qFormat/>
    <w:uiPriority w:val="34"/>
    <w:pPr>
      <w:ind w:left="720"/>
      <w:contextualSpacing/>
    </w:pPr>
  </w:style>
  <w:style w:type="paragraph" w:styleId="83">
    <w:name w:val="No Spacing"/>
    <w:qFormat/>
    <w:uiPriority w:val="1"/>
    <w:rPr>
      <w:rFonts w:hint="default" w:ascii="Times New Roman" w:hAnsi="Times New Roman" w:eastAsia="宋体" w:cs="Times New Roman"/>
    </w:rPr>
  </w:style>
  <w:style w:type="character" w:customStyle="1" w:styleId="84">
    <w:name w:val="标题 Char"/>
    <w:link w:val="27"/>
    <w:qFormat/>
    <w:uiPriority w:val="10"/>
    <w:rPr>
      <w:sz w:val="48"/>
      <w:szCs w:val="48"/>
    </w:rPr>
  </w:style>
  <w:style w:type="character" w:customStyle="1" w:styleId="85">
    <w:name w:val="副标题 Char"/>
    <w:link w:val="21"/>
    <w:qFormat/>
    <w:uiPriority w:val="11"/>
    <w:rPr>
      <w:sz w:val="24"/>
      <w:szCs w:val="24"/>
    </w:rPr>
  </w:style>
  <w:style w:type="paragraph" w:styleId="86">
    <w:name w:val="Quote"/>
    <w:basedOn w:val="1"/>
    <w:next w:val="1"/>
    <w:link w:val="87"/>
    <w:qFormat/>
    <w:uiPriority w:val="29"/>
    <w:pPr>
      <w:ind w:left="720" w:right="720"/>
    </w:pPr>
    <w:rPr>
      <w:i/>
    </w:rPr>
  </w:style>
  <w:style w:type="character" w:customStyle="1" w:styleId="87">
    <w:name w:val="引用 Char"/>
    <w:link w:val="86"/>
    <w:qFormat/>
    <w:uiPriority w:val="29"/>
    <w:rPr>
      <w:i/>
    </w:rPr>
  </w:style>
  <w:style w:type="paragraph" w:styleId="88">
    <w:name w:val="Intense Quote"/>
    <w:basedOn w:val="1"/>
    <w:next w:val="1"/>
    <w:link w:val="8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9">
    <w:name w:val="明显引用 Char"/>
    <w:link w:val="88"/>
    <w:qFormat/>
    <w:uiPriority w:val="30"/>
    <w:rPr>
      <w:i/>
    </w:rPr>
  </w:style>
  <w:style w:type="character" w:customStyle="1" w:styleId="90">
    <w:name w:val="页眉 Char"/>
    <w:link w:val="18"/>
    <w:qFormat/>
    <w:uiPriority w:val="99"/>
  </w:style>
  <w:style w:type="character" w:customStyle="1" w:styleId="91">
    <w:name w:val="Footer Char"/>
    <w:qFormat/>
    <w:uiPriority w:val="99"/>
  </w:style>
  <w:style w:type="character" w:customStyle="1" w:styleId="92">
    <w:name w:val="页脚 Char"/>
    <w:link w:val="17"/>
    <w:qFormat/>
    <w:uiPriority w:val="99"/>
  </w:style>
  <w:style w:type="table" w:customStyle="1" w:styleId="93">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94">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95">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96">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7">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8">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9">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100">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01">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02">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03">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04">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05">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106">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7">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8">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9">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0">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1">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2">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3">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4">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15">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6">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7">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8">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9">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20">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21">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22">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23">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24">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25">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26">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27">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28">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9">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30">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31">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32">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33">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34">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5">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6">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7">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38">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9">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40">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41">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2">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43">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4">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45">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6">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47">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48">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9">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50">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51">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52">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53">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54">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55">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6">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7">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8">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9">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0">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1">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2">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63">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64">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65">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66">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67">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68">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69">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70">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71">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72">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73">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74">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75">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76">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77">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78">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79">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80">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81">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82">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83">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84">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5">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6">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7">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8">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9">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90">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91">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92">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93">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94">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95">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96">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97">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8">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9">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00">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01">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2">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3">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4">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5">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06">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07">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08">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9">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10">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11">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12">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13">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14">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15">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16">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17">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18">
    <w:name w:val="脚注文本 Char"/>
    <w:link w:val="22"/>
    <w:qFormat/>
    <w:uiPriority w:val="99"/>
    <w:rPr>
      <w:sz w:val="18"/>
    </w:rPr>
  </w:style>
  <w:style w:type="character" w:customStyle="1" w:styleId="219">
    <w:name w:val="尾注文本 Char"/>
    <w:link w:val="16"/>
    <w:qFormat/>
    <w:uiPriority w:val="99"/>
    <w:rPr>
      <w:sz w:val="20"/>
    </w:rPr>
  </w:style>
  <w:style w:type="paragraph" w:customStyle="1" w:styleId="220">
    <w:name w:val="TOC 标题11"/>
    <w:unhideWhenUsed/>
    <w:qFormat/>
    <w:uiPriority w:val="39"/>
    <w:rPr>
      <w:rFonts w:hint="default" w:ascii="Times New Roman" w:hAnsi="Times New Roman" w:eastAsia="宋体" w:cs="Times New Roman"/>
    </w:rPr>
  </w:style>
  <w:style w:type="character" w:customStyle="1" w:styleId="221">
    <w:name w:val="默认段落字体1"/>
    <w:unhideWhenUsed/>
    <w:qFormat/>
    <w:uiPriority w:val="1"/>
  </w:style>
  <w:style w:type="table" w:customStyle="1" w:styleId="222">
    <w:name w:val="普通表格1"/>
    <w:unhideWhenUsed/>
    <w:qFormat/>
    <w:uiPriority w:val="99"/>
    <w:tblPr>
      <w:tblCellMar>
        <w:top w:w="0" w:type="dxa"/>
        <w:left w:w="0" w:type="dxa"/>
        <w:bottom w:w="0" w:type="dxa"/>
        <w:right w:w="0" w:type="dxa"/>
      </w:tblCellMar>
    </w:tblPr>
  </w:style>
  <w:style w:type="paragraph" w:customStyle="1" w:styleId="223">
    <w:name w:val="批注文字1"/>
    <w:qFormat/>
    <w:uiPriority w:val="0"/>
    <w:pPr>
      <w:widowControl w:val="0"/>
      <w:snapToGrid w:val="0"/>
      <w:spacing w:line="336" w:lineRule="auto"/>
      <w:ind w:firstLine="632" w:firstLineChars="200"/>
    </w:pPr>
    <w:rPr>
      <w:rFonts w:hint="eastAsia" w:ascii="仿宋_GB2312" w:hAnsi="仿宋_GB2312" w:eastAsia="仿宋_GB2312" w:cs="仿宋_GB2312"/>
      <w:snapToGrid w:val="0"/>
      <w:sz w:val="32"/>
      <w:szCs w:val="24"/>
    </w:rPr>
  </w:style>
  <w:style w:type="paragraph" w:customStyle="1" w:styleId="224">
    <w:name w:val="正文文本缩进1"/>
    <w:basedOn w:val="1"/>
    <w:qFormat/>
    <w:uiPriority w:val="99"/>
    <w:pPr>
      <w:spacing w:after="120"/>
      <w:ind w:left="420" w:leftChars="200"/>
    </w:pPr>
  </w:style>
  <w:style w:type="paragraph" w:customStyle="1" w:styleId="225">
    <w:name w:val="日期1"/>
    <w:basedOn w:val="1"/>
    <w:next w:val="1"/>
    <w:link w:val="226"/>
    <w:unhideWhenUsed/>
    <w:qFormat/>
    <w:uiPriority w:val="99"/>
    <w:pPr>
      <w:ind w:left="100" w:leftChars="2500"/>
    </w:pPr>
  </w:style>
  <w:style w:type="character" w:customStyle="1" w:styleId="226">
    <w:name w:val="日期 字符"/>
    <w:link w:val="225"/>
    <w:semiHidden/>
    <w:qFormat/>
    <w:uiPriority w:val="99"/>
    <w:rPr>
      <w:kern w:val="2"/>
      <w:sz w:val="32"/>
      <w:szCs w:val="22"/>
    </w:rPr>
  </w:style>
  <w:style w:type="paragraph" w:customStyle="1" w:styleId="227">
    <w:name w:val="页脚1"/>
    <w:basedOn w:val="1"/>
    <w:link w:val="228"/>
    <w:unhideWhenUsed/>
    <w:qFormat/>
    <w:uiPriority w:val="99"/>
    <w:pPr>
      <w:tabs>
        <w:tab w:val="center" w:pos="4153"/>
        <w:tab w:val="right" w:pos="8306"/>
      </w:tabs>
      <w:snapToGrid w:val="0"/>
      <w:jc w:val="left"/>
    </w:pPr>
    <w:rPr>
      <w:sz w:val="18"/>
      <w:szCs w:val="18"/>
    </w:rPr>
  </w:style>
  <w:style w:type="character" w:customStyle="1" w:styleId="228">
    <w:name w:val="页脚 字符"/>
    <w:link w:val="227"/>
    <w:qFormat/>
    <w:uiPriority w:val="99"/>
    <w:rPr>
      <w:kern w:val="2"/>
      <w:sz w:val="18"/>
      <w:szCs w:val="18"/>
    </w:rPr>
  </w:style>
  <w:style w:type="paragraph" w:customStyle="1" w:styleId="229">
    <w:name w:val="页眉1"/>
    <w:basedOn w:val="1"/>
    <w:link w:val="230"/>
    <w:unhideWhenUsed/>
    <w:qFormat/>
    <w:uiPriority w:val="99"/>
    <w:pPr>
      <w:pBdr>
        <w:bottom w:val="single" w:color="000000" w:sz="6" w:space="1"/>
      </w:pBdr>
      <w:tabs>
        <w:tab w:val="center" w:pos="4153"/>
        <w:tab w:val="right" w:pos="8306"/>
      </w:tabs>
      <w:snapToGrid w:val="0"/>
      <w:jc w:val="center"/>
    </w:pPr>
    <w:rPr>
      <w:sz w:val="18"/>
      <w:szCs w:val="18"/>
    </w:rPr>
  </w:style>
  <w:style w:type="character" w:customStyle="1" w:styleId="230">
    <w:name w:val="页眉 字符"/>
    <w:link w:val="229"/>
    <w:qFormat/>
    <w:uiPriority w:val="99"/>
    <w:rPr>
      <w:kern w:val="2"/>
      <w:sz w:val="18"/>
      <w:szCs w:val="18"/>
    </w:rPr>
  </w:style>
  <w:style w:type="paragraph" w:customStyle="1" w:styleId="231">
    <w:name w:val="正文首行缩进 21"/>
    <w:basedOn w:val="224"/>
    <w:next w:val="1"/>
    <w:qFormat/>
    <w:uiPriority w:val="0"/>
    <w:pPr>
      <w:ind w:left="200" w:firstLine="420" w:firstLineChars="200"/>
    </w:pPr>
    <w:rPr>
      <w:rFonts w:ascii="Calibri" w:hAnsi="Calibri"/>
      <w:sz w:val="21"/>
      <w:szCs w:val="24"/>
    </w:rPr>
  </w:style>
  <w:style w:type="table" w:customStyle="1" w:styleId="232">
    <w:name w:val="网格型1"/>
    <w:basedOn w:val="222"/>
    <w:qFormat/>
    <w:uiPriority w:val="59"/>
    <w:pPr>
      <w:widowControl w:val="0"/>
      <w:jc w:val="both"/>
    </w:pPr>
    <w:rPr>
      <w:rFonts w:ascii="Calibri" w:hAnsi="Calibri"/>
    </w:rPr>
    <w:tblPr>
      <w:tblCellMar>
        <w:top w:w="0" w:type="dxa"/>
        <w:left w:w="0" w:type="dxa"/>
        <w:bottom w:w="0" w:type="dxa"/>
        <w:right w:w="0" w:type="dxa"/>
      </w:tblCellMar>
    </w:tblPr>
  </w:style>
  <w:style w:type="character" w:customStyle="1" w:styleId="233">
    <w:name w:val="页码1"/>
    <w:unhideWhenUsed/>
    <w:qFormat/>
    <w:uiPriority w:val="99"/>
  </w:style>
  <w:style w:type="paragraph" w:customStyle="1" w:styleId="234">
    <w:name w:val="段"/>
    <w:qFormat/>
    <w:uiPriority w:val="0"/>
    <w:pPr>
      <w:tabs>
        <w:tab w:val="center" w:pos="4201"/>
        <w:tab w:val="right" w:leader="dot" w:pos="9298"/>
      </w:tabs>
      <w:autoSpaceDE w:val="0"/>
      <w:autoSpaceDN w:val="0"/>
      <w:ind w:firstLine="420" w:firstLineChars="200"/>
      <w:jc w:val="both"/>
    </w:pPr>
    <w:rPr>
      <w:rFonts w:hint="default" w:ascii="宋体" w:hAnsi="Times New Roman" w:eastAsia="宋体" w:cs="Times New Roman"/>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161</Words>
  <Characters>169</Characters>
  <TotalTime>0</TotalTime>
  <ScaleCrop>false</ScaleCrop>
  <LinksUpToDate>false</LinksUpToDate>
  <CharactersWithSpaces>185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2021-07-28T02:22:00Z</dcterms:created>
  <dc:creator>税伯</dc:creator>
  <cp:lastModifiedBy>胡建伟</cp:lastModifiedBy>
  <dcterms:modified xsi:type="dcterms:W3CDTF">2026-10-10T08:50:00Z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35F9A7D188C14D84935014969CBCA835_13</vt:lpwstr>
  </property>
  <property fmtid="{D5CDD505-2E9C-101B-9397-08002B2CF9AE}" pid="4" name="KSOTemplateDocerSaveRecord">
    <vt:lpwstr>eyJoZGlkIjoiYWU4ODcyZTJlZWFiNjFhYmQzMTcxZWUwODQ0OGI0YmEiLCJ1c2VySWQiOiI1NDIyMzAwMzAifQ==</vt:lpwstr>
  </property>
</Properties>
</file>