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52203">
      <w:pPr>
        <w:autoSpaceDN w:val="0"/>
        <w:ind w:firstLine="640"/>
        <w:jc w:val="right"/>
        <w:rPr>
          <w:rFonts w:ascii="Times New Roman" w:hAnsi="Times New Roman" w:eastAsia="仿宋_GB2312"/>
          <w:color w:val="auto"/>
          <w:sz w:val="32"/>
          <w:szCs w:val="32"/>
        </w:rPr>
      </w:pPr>
    </w:p>
    <w:p w14:paraId="2852B587">
      <w:pPr>
        <w:autoSpaceDN w:val="0"/>
        <w:ind w:firstLine="624"/>
        <w:jc w:val="right"/>
        <w:rPr>
          <w:rFonts w:ascii="Times New Roman" w:hAnsi="Times New Roman" w:eastAsia="仿宋_GB2312"/>
          <w:color w:val="auto"/>
          <w:sz w:val="32"/>
          <w:szCs w:val="32"/>
        </w:rPr>
      </w:pPr>
      <w:r>
        <w:rPr>
          <w:rFonts w:hint="eastAsia" w:ascii="Times New Roman" w:hAnsi="Times New Roman" w:eastAsia="仿宋_GB2312"/>
          <w:color w:val="auto"/>
          <w:sz w:val="32"/>
          <w:szCs w:val="32"/>
        </w:rPr>
        <w:t>川教函〔</w:t>
      </w:r>
      <w:r>
        <w:rPr>
          <w:rFonts w:ascii="Times New Roman" w:hAnsi="Times New Roman" w:eastAsia="仿宋_GB2312"/>
          <w:color w:val="auto"/>
          <w:sz w:val="32"/>
          <w:szCs w:val="32"/>
        </w:rPr>
        <w:t>2026</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3</w:t>
      </w:r>
      <w:r>
        <w:rPr>
          <w:rFonts w:hint="eastAsia" w:ascii="Times New Roman" w:hAnsi="Times New Roman" w:eastAsia="仿宋_GB2312"/>
          <w:color w:val="auto"/>
          <w:sz w:val="32"/>
          <w:szCs w:val="32"/>
        </w:rPr>
        <w:t>84号</w:t>
      </w:r>
    </w:p>
    <w:p w14:paraId="42EA2C65">
      <w:pPr>
        <w:autoSpaceDN w:val="0"/>
        <w:ind w:firstLine="640"/>
        <w:jc w:val="right"/>
        <w:rPr>
          <w:rFonts w:ascii="Times New Roman" w:hAnsi="Times New Roman" w:eastAsia="仿宋_GB2312"/>
          <w:color w:val="auto"/>
          <w:sz w:val="32"/>
          <w:szCs w:val="32"/>
        </w:rPr>
      </w:pPr>
    </w:p>
    <w:p w14:paraId="53461AD6">
      <w:pPr>
        <w:spacing w:line="8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四川省教育厅关于开展</w:t>
      </w:r>
    </w:p>
    <w:p w14:paraId="56E6AD22">
      <w:pPr>
        <w:spacing w:line="8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第12个近视防控宣传教育月活动的通知</w:t>
      </w:r>
    </w:p>
    <w:p w14:paraId="6A8EA37B">
      <w:pPr>
        <w:spacing w:line="600" w:lineRule="exact"/>
        <w:ind w:firstLine="640" w:firstLineChars="200"/>
        <w:rPr>
          <w:rFonts w:ascii="Times New Roman" w:hAnsi="Times New Roman" w:eastAsia="仿宋_GB2312"/>
          <w:sz w:val="32"/>
          <w:szCs w:val="32"/>
        </w:rPr>
      </w:pPr>
    </w:p>
    <w:p w14:paraId="3DDF95D9">
      <w:pPr>
        <w:spacing w:line="600" w:lineRule="exact"/>
        <w:rPr>
          <w:rFonts w:ascii="Times New Roman" w:hAnsi="Times New Roman" w:eastAsia="仿宋_GB2312"/>
          <w:sz w:val="32"/>
          <w:szCs w:val="32"/>
        </w:rPr>
      </w:pPr>
      <w:r>
        <w:rPr>
          <w:rFonts w:ascii="Times New Roman" w:hAnsi="Times New Roman" w:eastAsia="仿宋_GB2312"/>
          <w:sz w:val="32"/>
          <w:szCs w:val="32"/>
        </w:rPr>
        <w:t>各市（州）教育主管部门：</w:t>
      </w:r>
    </w:p>
    <w:p w14:paraId="7926D406">
      <w:pPr>
        <w:spacing w:line="600" w:lineRule="exact"/>
        <w:ind w:firstLine="640" w:firstLineChars="200"/>
        <w:rPr>
          <w:rFonts w:ascii="Times New Roman" w:hAnsi="Times New Roman" w:eastAsia="仿宋_GB2312"/>
          <w:sz w:val="32"/>
          <w:szCs w:val="32"/>
        </w:rPr>
        <w:sectPr>
          <w:footerReference r:id="rId3" w:type="even"/>
          <w:pgSz w:w="11906" w:h="16838"/>
          <w:pgMar w:top="1588" w:right="1474" w:bottom="1304" w:left="1588" w:header="1134" w:footer="1134" w:gutter="0"/>
          <w:cols w:space="1701" w:num="1"/>
          <w:docGrid w:linePitch="312" w:charSpace="0"/>
        </w:sectPr>
      </w:pPr>
    </w:p>
    <w:p w14:paraId="31BD6F10">
      <w:pPr>
        <w:spacing w:line="600" w:lineRule="exact"/>
        <w:ind w:firstLine="640" w:firstLineChars="200"/>
        <w:rPr>
          <w:rFonts w:ascii="Times New Roman" w:hAnsi="Times New Roman" w:eastAsia="仿宋_GB2312"/>
          <w:sz w:val="32"/>
          <w:szCs w:val="32"/>
        </w:rPr>
      </w:pPr>
      <w:r>
        <w:rPr>
          <w:rFonts w:ascii="Times New Roman" w:hAnsi="Times New Roman" w:eastAsia="仿宋_GB2312"/>
          <w:snapToGrid w:val="0"/>
          <w:kern w:val="0"/>
          <w:sz w:val="32"/>
          <w:szCs w:val="32"/>
        </w:rPr>
        <w:t>为深入贯彻习近平总书记关于儿童青少年近视防控工作重要指示批示精神和省委、省政府工作部署，落实《教育部办公厅关于开展第12个全国近视防控宣传教育月活动的通知》《四川省中小学生近视防控十条措施》《四川省加强健康学校建设十条举措》要求，抓实抓细秋季学期近视防控，有效遏制近视低龄化，科学防控高度近视，现就组织开展我省第12个近视防控宣传教育月活动有关事项通知如下。</w:t>
      </w:r>
    </w:p>
    <w:p w14:paraId="3165CBF2">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一、活动主题</w:t>
      </w:r>
    </w:p>
    <w:p w14:paraId="7F1FF8DF">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落实健康第一理念，科学防控高度近视。</w:t>
      </w:r>
    </w:p>
    <w:p w14:paraId="5D89C5FF">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二、活动时间</w:t>
      </w:r>
    </w:p>
    <w:p w14:paraId="4534E342">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2026年9月。如部分工作未能按期完成，可结合实际顺延，务求工作实效。</w:t>
      </w:r>
    </w:p>
    <w:p w14:paraId="657EF2AD">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三、重点工作任务</w:t>
      </w:r>
    </w:p>
    <w:p w14:paraId="23C06F28">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w:t>
      </w:r>
      <w:r>
        <w:rPr>
          <w:rFonts w:ascii="Times New Roman" w:hAnsi="Times New Roman" w:eastAsia="楷体_GB2312"/>
          <w:spacing w:val="-6"/>
          <w:sz w:val="32"/>
          <w:szCs w:val="32"/>
        </w:rPr>
        <w:t>压实工作责任，将近视防控作为健康学校建设重点任务</w:t>
      </w:r>
    </w:p>
    <w:p w14:paraId="51FC79FF">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各地要牢固树立</w:t>
      </w:r>
      <w:r>
        <w:rPr>
          <w:rFonts w:hint="eastAsia" w:ascii="Times New Roman" w:hAnsi="Times New Roman" w:eastAsia="仿宋_GB2312"/>
          <w:sz w:val="32"/>
          <w:szCs w:val="32"/>
        </w:rPr>
        <w:t>“</w:t>
      </w:r>
      <w:r>
        <w:rPr>
          <w:rFonts w:ascii="Times New Roman" w:hAnsi="Times New Roman" w:eastAsia="仿宋_GB2312"/>
          <w:sz w:val="32"/>
          <w:szCs w:val="32"/>
        </w:rPr>
        <w:t>健康第一</w:t>
      </w:r>
      <w:r>
        <w:rPr>
          <w:rFonts w:hint="eastAsia" w:ascii="Times New Roman" w:hAnsi="Times New Roman" w:eastAsia="仿宋_GB2312"/>
          <w:sz w:val="32"/>
          <w:szCs w:val="32"/>
        </w:rPr>
        <w:t>”</w:t>
      </w:r>
      <w:r>
        <w:rPr>
          <w:rFonts w:ascii="Times New Roman" w:hAnsi="Times New Roman" w:eastAsia="仿宋_GB2312"/>
          <w:sz w:val="32"/>
          <w:szCs w:val="32"/>
        </w:rPr>
        <w:t>理念，将近视防控纳入健康学校建设重点内容，联动卫健、疾控、市场监管、体育等部门建立常态化协同工作机制。对照我省近视防控工作的短板弱项，广安、绵阳、广元、自贡等重点市要实行清单化调度，紧盯幼儿园大班近视率偏高、留守儿童电子产品管控难、幼儿园</w:t>
      </w:r>
      <w:r>
        <w:rPr>
          <w:rFonts w:hint="eastAsia" w:ascii="Times New Roman" w:hAnsi="Times New Roman" w:eastAsia="仿宋_GB2312"/>
          <w:sz w:val="32"/>
          <w:szCs w:val="32"/>
        </w:rPr>
        <w:t>“</w:t>
      </w:r>
      <w:r>
        <w:rPr>
          <w:rFonts w:ascii="Times New Roman" w:hAnsi="Times New Roman" w:eastAsia="仿宋_GB2312"/>
          <w:sz w:val="32"/>
          <w:szCs w:val="32"/>
        </w:rPr>
        <w:t>小学化</w:t>
      </w:r>
      <w:r>
        <w:rPr>
          <w:rFonts w:hint="eastAsia" w:ascii="Times New Roman" w:hAnsi="Times New Roman" w:eastAsia="仿宋_GB2312"/>
          <w:sz w:val="32"/>
          <w:szCs w:val="32"/>
        </w:rPr>
        <w:t>”</w:t>
      </w:r>
      <w:r>
        <w:rPr>
          <w:rFonts w:ascii="Times New Roman" w:hAnsi="Times New Roman" w:eastAsia="仿宋_GB2312"/>
          <w:sz w:val="32"/>
          <w:szCs w:val="32"/>
        </w:rPr>
        <w:t>、教室光环境不达标、校医保健人员配备不足等突出问题逐项推进整改。校长要履行第一责任人职责，严禁挤占体育课时、压缩学生户外活动时间，把近视防控纳入学校内部考核评价。省上已将近视率管控成效纳入市（州）教育高质量发展考核体系，对弄虚作假、防控不力的依规追责问责。</w:t>
      </w:r>
    </w:p>
    <w:p w14:paraId="615D1873">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（二）强化体育锻炼保障，抓实户外活动源头防控</w:t>
      </w:r>
    </w:p>
    <w:p w14:paraId="6F3057F4">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刚性落实中小学生每天综合体育活动不少于2小时，义务教育阶段落实每日1节体育课，高中每周3节体育课；推行课间15分钟，落实大课间不少于30分钟，杜绝课间学生滞留教室不出室外。落实体育</w:t>
      </w:r>
      <w:r>
        <w:rPr>
          <w:rFonts w:hint="eastAsia" w:ascii="Times New Roman" w:hAnsi="Times New Roman" w:eastAsia="仿宋_GB2312"/>
          <w:sz w:val="32"/>
          <w:szCs w:val="32"/>
        </w:rPr>
        <w:t>“</w:t>
      </w:r>
      <w:r>
        <w:rPr>
          <w:rFonts w:ascii="Times New Roman" w:hAnsi="Times New Roman" w:eastAsia="仿宋_GB2312"/>
          <w:sz w:val="32"/>
          <w:szCs w:val="32"/>
        </w:rPr>
        <w:t>1+1+N</w:t>
      </w:r>
      <w:r>
        <w:rPr>
          <w:rFonts w:hint="eastAsia" w:ascii="Times New Roman" w:hAnsi="Times New Roman" w:eastAsia="仿宋_GB2312"/>
          <w:sz w:val="32"/>
          <w:szCs w:val="32"/>
        </w:rPr>
        <w:t>”</w:t>
      </w:r>
      <w:r>
        <w:rPr>
          <w:rFonts w:ascii="Times New Roman" w:hAnsi="Times New Roman" w:eastAsia="仿宋_GB2312"/>
          <w:sz w:val="32"/>
          <w:szCs w:val="32"/>
        </w:rPr>
        <w:t>项目计划，每名学生至少加入1个体育社团，选择1项易学、易实施、能出汗的体育项目（如跳绳、跑步等），制定计划，长期坚持；有兴趣的学生可在此基础上选择N项喜欢的运动项目。广泛开展班级、年级体育竞赛，办好</w:t>
      </w:r>
      <w:r>
        <w:rPr>
          <w:rFonts w:hint="eastAsia" w:ascii="Times New Roman" w:hAnsi="Times New Roman" w:eastAsia="仿宋_GB2312"/>
          <w:sz w:val="32"/>
          <w:szCs w:val="32"/>
        </w:rPr>
        <w:t>“</w:t>
      </w:r>
      <w:r>
        <w:rPr>
          <w:rFonts w:ascii="Times New Roman" w:hAnsi="Times New Roman" w:eastAsia="仿宋_GB2312"/>
          <w:sz w:val="32"/>
          <w:szCs w:val="32"/>
        </w:rPr>
        <w:t>贡嘎杯</w:t>
      </w:r>
      <w:r>
        <w:rPr>
          <w:rFonts w:hint="eastAsia" w:ascii="Times New Roman" w:hAnsi="Times New Roman" w:eastAsia="仿宋_GB2312"/>
          <w:sz w:val="32"/>
          <w:szCs w:val="32"/>
        </w:rPr>
        <w:t>”</w:t>
      </w:r>
      <w:r>
        <w:rPr>
          <w:rFonts w:ascii="Times New Roman" w:hAnsi="Times New Roman" w:eastAsia="仿宋_GB2312"/>
          <w:sz w:val="32"/>
          <w:szCs w:val="32"/>
        </w:rPr>
        <w:t>校园体育赛事，以运动锻炼缓解视疲劳、防控近视发生发展。幼儿园保障幼儿每日户外活动不少于2小时，鼓励延长至4小时，坚决整治幼儿园</w:t>
      </w:r>
      <w:r>
        <w:rPr>
          <w:rFonts w:hint="eastAsia" w:ascii="Times New Roman" w:hAnsi="Times New Roman" w:eastAsia="仿宋_GB2312"/>
          <w:sz w:val="32"/>
          <w:szCs w:val="32"/>
        </w:rPr>
        <w:t>“</w:t>
      </w:r>
      <w:r>
        <w:rPr>
          <w:rFonts w:ascii="Times New Roman" w:hAnsi="Times New Roman" w:eastAsia="仿宋_GB2312"/>
          <w:sz w:val="32"/>
          <w:szCs w:val="32"/>
        </w:rPr>
        <w:t>小学化</w:t>
      </w:r>
      <w:r>
        <w:rPr>
          <w:rFonts w:hint="eastAsia" w:ascii="Times New Roman" w:hAnsi="Times New Roman" w:eastAsia="仿宋_GB2312"/>
          <w:sz w:val="32"/>
          <w:szCs w:val="32"/>
        </w:rPr>
        <w:t>”</w:t>
      </w:r>
      <w:r>
        <w:rPr>
          <w:rFonts w:ascii="Times New Roman" w:hAnsi="Times New Roman" w:eastAsia="仿宋_GB2312"/>
          <w:sz w:val="32"/>
          <w:szCs w:val="32"/>
        </w:rPr>
        <w:t>超前读写训练行为，保护幼儿远视储备量。</w:t>
      </w:r>
    </w:p>
    <w:p w14:paraId="5B42BDBC">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（三）聚焦重点群体，抓实近视早监测早干预</w:t>
      </w:r>
    </w:p>
    <w:p w14:paraId="034D2255">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严格视力监测制度。落实近视防控</w:t>
      </w:r>
      <w:r>
        <w:rPr>
          <w:rFonts w:hint="eastAsia" w:ascii="Times New Roman" w:hAnsi="Times New Roman" w:eastAsia="仿宋_GB2312"/>
          <w:sz w:val="32"/>
          <w:szCs w:val="32"/>
        </w:rPr>
        <w:t>“</w:t>
      </w:r>
      <w:r>
        <w:rPr>
          <w:rFonts w:ascii="Times New Roman" w:hAnsi="Times New Roman" w:eastAsia="仿宋_GB2312"/>
          <w:sz w:val="32"/>
          <w:szCs w:val="32"/>
        </w:rPr>
        <w:t>六个一</w:t>
      </w:r>
      <w:r>
        <w:rPr>
          <w:rFonts w:hint="eastAsia" w:ascii="Times New Roman" w:hAnsi="Times New Roman" w:eastAsia="仿宋_GB2312"/>
          <w:sz w:val="32"/>
          <w:szCs w:val="32"/>
        </w:rPr>
        <w:t>”</w:t>
      </w:r>
      <w:r>
        <w:rPr>
          <w:rFonts w:ascii="Times New Roman" w:hAnsi="Times New Roman" w:eastAsia="仿宋_GB2312"/>
          <w:sz w:val="32"/>
          <w:szCs w:val="32"/>
        </w:rPr>
        <w:t>工作要求，宣传教育月期间，全省中小学校至少组织开展1次视力检查；严格执行小学每学期2次视力普查，幼儿园每半年开展1次视力检查，鼓励开展远视储备筛查，建立</w:t>
      </w:r>
      <w:r>
        <w:rPr>
          <w:rFonts w:hint="eastAsia" w:ascii="Times New Roman" w:hAnsi="Times New Roman" w:eastAsia="仿宋_GB2312"/>
          <w:sz w:val="32"/>
          <w:szCs w:val="32"/>
        </w:rPr>
        <w:t>“</w:t>
      </w:r>
      <w:r>
        <w:rPr>
          <w:rFonts w:ascii="Times New Roman" w:hAnsi="Times New Roman" w:eastAsia="仿宋_GB2312"/>
          <w:sz w:val="32"/>
          <w:szCs w:val="32"/>
        </w:rPr>
        <w:t>一人一档、档随人走</w:t>
      </w:r>
      <w:r>
        <w:rPr>
          <w:rFonts w:hint="eastAsia" w:ascii="Times New Roman" w:hAnsi="Times New Roman" w:eastAsia="仿宋_GB2312"/>
          <w:sz w:val="32"/>
          <w:szCs w:val="32"/>
        </w:rPr>
        <w:t>”</w:t>
      </w:r>
      <w:r>
        <w:rPr>
          <w:rFonts w:ascii="Times New Roman" w:hAnsi="Times New Roman" w:eastAsia="仿宋_GB2312"/>
          <w:sz w:val="32"/>
          <w:szCs w:val="32"/>
        </w:rPr>
        <w:t>学生视觉健康电子档案，及时向家长推送视力监测结果，督促视力异常的学生前往正规医疗机构就诊干预。做好重点学生关注管理。将每年近视度数增长超50度、眼轴增长超过0.2毫米学生列为重点关注对象，建立专项台账；针对高度近视学生做好日常关爱，指导缩短连续近距离用眼时间，规避剧烈运动风险。重点关注留守儿童群体，破解</w:t>
      </w:r>
      <w:r>
        <w:rPr>
          <w:rFonts w:hint="eastAsia" w:ascii="Times New Roman" w:hAnsi="Times New Roman" w:eastAsia="仿宋_GB2312"/>
          <w:sz w:val="32"/>
          <w:szCs w:val="32"/>
        </w:rPr>
        <w:t>“</w:t>
      </w:r>
      <w:r>
        <w:rPr>
          <w:rFonts w:ascii="Times New Roman" w:hAnsi="Times New Roman" w:eastAsia="仿宋_GB2312"/>
          <w:sz w:val="32"/>
          <w:szCs w:val="32"/>
        </w:rPr>
        <w:t>电子保姆</w:t>
      </w:r>
      <w:r>
        <w:rPr>
          <w:rFonts w:hint="eastAsia" w:ascii="Times New Roman" w:hAnsi="Times New Roman" w:eastAsia="仿宋_GB2312"/>
          <w:sz w:val="32"/>
          <w:szCs w:val="32"/>
        </w:rPr>
        <w:t>”</w:t>
      </w:r>
      <w:r>
        <w:rPr>
          <w:rFonts w:ascii="Times New Roman" w:hAnsi="Times New Roman" w:eastAsia="仿宋_GB2312"/>
          <w:sz w:val="32"/>
          <w:szCs w:val="32"/>
        </w:rPr>
        <w:t>问题，针对性做好电子产品管控、户外活动引导，补齐农村地区近视防控短板。</w:t>
      </w:r>
    </w:p>
    <w:p w14:paraId="005955B0">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（四）严格教学管理，规范电子产品使用管理</w:t>
      </w:r>
    </w:p>
    <w:p w14:paraId="15E2A389">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严格落实</w:t>
      </w:r>
      <w:r>
        <w:rPr>
          <w:rFonts w:hint="eastAsia" w:ascii="Times New Roman" w:hAnsi="Times New Roman" w:eastAsia="仿宋_GB2312"/>
          <w:sz w:val="32"/>
          <w:szCs w:val="32"/>
        </w:rPr>
        <w:t>“</w:t>
      </w:r>
      <w:r>
        <w:rPr>
          <w:rFonts w:ascii="Times New Roman" w:hAnsi="Times New Roman" w:eastAsia="仿宋_GB2312"/>
          <w:sz w:val="32"/>
          <w:szCs w:val="32"/>
        </w:rPr>
        <w:t>双减</w:t>
      </w:r>
      <w:r>
        <w:rPr>
          <w:rFonts w:hint="eastAsia" w:ascii="Times New Roman" w:hAnsi="Times New Roman" w:eastAsia="仿宋_GB2312"/>
          <w:sz w:val="32"/>
          <w:szCs w:val="32"/>
        </w:rPr>
        <w:t>”</w:t>
      </w:r>
      <w:r>
        <w:rPr>
          <w:rFonts w:ascii="Times New Roman" w:hAnsi="Times New Roman" w:eastAsia="仿宋_GB2312"/>
          <w:sz w:val="32"/>
          <w:szCs w:val="32"/>
        </w:rPr>
        <w:t>作业管控，小学一、二年级不布置书面家庭作业，三至六年级书面作业每日不超60分钟，初中不超90分钟。禁止手机带入课堂，严禁手机布置作业，教师课堂教学使用电子产品时长不得超过教学总时长30%，幼儿园原则上不使用电子产品教学，不合格教学电子设备严禁进校园课堂。指导学生落实</w:t>
      </w:r>
      <w:r>
        <w:rPr>
          <w:rFonts w:hint="eastAsia" w:ascii="Times New Roman" w:hAnsi="Times New Roman" w:eastAsia="仿宋_GB2312"/>
          <w:sz w:val="32"/>
          <w:szCs w:val="32"/>
        </w:rPr>
        <w:t>“</w:t>
      </w:r>
      <w:r>
        <w:rPr>
          <w:rFonts w:ascii="Times New Roman" w:hAnsi="Times New Roman" w:eastAsia="仿宋_GB2312"/>
          <w:sz w:val="32"/>
          <w:szCs w:val="32"/>
        </w:rPr>
        <w:t>一尺一拳一寸</w:t>
      </w:r>
      <w:r>
        <w:rPr>
          <w:rFonts w:hint="eastAsia" w:ascii="Times New Roman" w:hAnsi="Times New Roman" w:eastAsia="仿宋_GB2312"/>
          <w:sz w:val="32"/>
          <w:szCs w:val="32"/>
        </w:rPr>
        <w:t>”</w:t>
      </w:r>
      <w:r>
        <w:rPr>
          <w:rFonts w:ascii="Times New Roman" w:hAnsi="Times New Roman" w:eastAsia="仿宋_GB2312"/>
          <w:sz w:val="32"/>
          <w:szCs w:val="32"/>
        </w:rPr>
        <w:t>读写姿势、</w:t>
      </w:r>
      <w:r>
        <w:rPr>
          <w:rFonts w:hint="eastAsia" w:ascii="Times New Roman" w:hAnsi="Times New Roman" w:eastAsia="仿宋_GB2312"/>
          <w:sz w:val="32"/>
          <w:szCs w:val="32"/>
        </w:rPr>
        <w:t>“</w:t>
      </w:r>
      <w:r>
        <w:rPr>
          <w:rFonts w:ascii="Times New Roman" w:hAnsi="Times New Roman" w:eastAsia="仿宋_GB2312"/>
          <w:sz w:val="32"/>
          <w:szCs w:val="32"/>
        </w:rPr>
        <w:t>20-20-20</w:t>
      </w:r>
      <w:r>
        <w:rPr>
          <w:rFonts w:hint="eastAsia" w:ascii="Times New Roman" w:hAnsi="Times New Roman" w:eastAsia="仿宋_GB2312"/>
          <w:sz w:val="32"/>
          <w:szCs w:val="32"/>
        </w:rPr>
        <w:t>”</w:t>
      </w:r>
      <w:r>
        <w:rPr>
          <w:rFonts w:ascii="Times New Roman" w:hAnsi="Times New Roman" w:eastAsia="仿宋_GB2312"/>
          <w:sz w:val="32"/>
          <w:szCs w:val="32"/>
        </w:rPr>
        <w:t>用眼法则，定期调整课桌椅高度。加快推进教室采光照明标准化改造，力争2030年教室光环境、可调课桌椅双达标率100%，重点向农村、欠发达地区倾斜，把照度、频闪、蓝光防护纳入装备抽检指标。保障学生充足睡眠，小学生每日睡眠10小时、初中生9小时、高中生8小时。</w:t>
      </w:r>
    </w:p>
    <w:p w14:paraId="20D83FF9">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（五）丰富宣教载体，开展多形式爱眼护眼主题教育</w:t>
      </w:r>
    </w:p>
    <w:p w14:paraId="4FA33B64">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各地各校要多渠道开展主题宣传，宣传教育月至少组织1次主题宣传活动。依托开学第一课、主题班会、健康教育课、校园宣传栏、校园广播、公众号、科普长廊等载体开展科普教育；用好</w:t>
      </w:r>
      <w:r>
        <w:rPr>
          <w:rFonts w:hint="eastAsia" w:ascii="Times New Roman" w:hAnsi="Times New Roman" w:eastAsia="仿宋_GB2312"/>
          <w:sz w:val="32"/>
          <w:szCs w:val="32"/>
        </w:rPr>
        <w:t>“</w:t>
      </w:r>
      <w:r>
        <w:rPr>
          <w:rFonts w:ascii="Times New Roman" w:hAnsi="Times New Roman" w:eastAsia="仿宋_GB2312"/>
          <w:sz w:val="32"/>
          <w:szCs w:val="32"/>
        </w:rPr>
        <w:t>熊猫爱眼</w:t>
      </w:r>
      <w:r>
        <w:rPr>
          <w:rFonts w:hint="eastAsia" w:ascii="Times New Roman" w:hAnsi="Times New Roman" w:eastAsia="仿宋_GB2312"/>
          <w:sz w:val="32"/>
          <w:szCs w:val="32"/>
        </w:rPr>
        <w:t>”</w:t>
      </w:r>
      <w:r>
        <w:rPr>
          <w:rFonts w:ascii="Times New Roman" w:hAnsi="Times New Roman" w:eastAsia="仿宋_GB2312"/>
          <w:sz w:val="32"/>
          <w:szCs w:val="32"/>
        </w:rPr>
        <w:t>科普品牌，发挥近视防控宣讲团作用，面向教师、学生开展科普宣讲，有条件学校可成立近视防控科普社团，评选防控宣传大使，开展同伴教育。普及高度近视危害、科学矫正知识，推广中医药近视防控适宜技术，引导学生和家长树立科学防控理念，破除</w:t>
      </w:r>
      <w:r>
        <w:rPr>
          <w:rFonts w:hint="eastAsia" w:ascii="Times New Roman" w:hAnsi="Times New Roman" w:eastAsia="仿宋_GB2312"/>
          <w:sz w:val="32"/>
          <w:szCs w:val="32"/>
        </w:rPr>
        <w:t>“</w:t>
      </w:r>
      <w:r>
        <w:rPr>
          <w:rFonts w:ascii="Times New Roman" w:hAnsi="Times New Roman" w:eastAsia="仿宋_GB2312"/>
          <w:sz w:val="32"/>
          <w:szCs w:val="32"/>
        </w:rPr>
        <w:t>重治轻防</w:t>
      </w:r>
      <w:r>
        <w:rPr>
          <w:rFonts w:hint="eastAsia" w:ascii="Times New Roman" w:hAnsi="Times New Roman" w:eastAsia="仿宋_GB2312"/>
          <w:sz w:val="32"/>
          <w:szCs w:val="32"/>
        </w:rPr>
        <w:t>”</w:t>
      </w:r>
      <w:r>
        <w:rPr>
          <w:rFonts w:ascii="Times New Roman" w:hAnsi="Times New Roman" w:eastAsia="仿宋_GB2312"/>
          <w:sz w:val="32"/>
          <w:szCs w:val="32"/>
        </w:rPr>
        <w:t>认知误区。</w:t>
      </w:r>
    </w:p>
    <w:p w14:paraId="59E4C3B7">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（六）深化家校社协同，压实家庭监护主体责任</w:t>
      </w:r>
    </w:p>
    <w:p w14:paraId="0F45CFDF">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宣传月期间各中小学、幼儿园要通过家长会、家长课堂、家访、亲子实践等形式，面向家长至少开展1次近视防控专题宣讲。向家长明确家庭护眼要点：严控非学习类电子产品，单次使用不超过15分钟，每日累计不超过1小时；优化家庭采光照明环境；保障孩子户外活动时间，管控甜食摄入，督促充足睡眠，纠正不良读写姿势。针对留守儿童家庭，发挥</w:t>
      </w:r>
      <w:r>
        <w:rPr>
          <w:rFonts w:hint="eastAsia" w:ascii="Times New Roman" w:hAnsi="Times New Roman" w:eastAsia="仿宋_GB2312"/>
          <w:sz w:val="32"/>
          <w:szCs w:val="32"/>
        </w:rPr>
        <w:t>“</w:t>
      </w:r>
      <w:r>
        <w:rPr>
          <w:rFonts w:ascii="Times New Roman" w:hAnsi="Times New Roman" w:eastAsia="仿宋_GB2312"/>
          <w:sz w:val="32"/>
          <w:szCs w:val="32"/>
        </w:rPr>
        <w:t>爱心爸妈</w:t>
      </w:r>
      <w:r>
        <w:rPr>
          <w:rFonts w:hint="eastAsia" w:ascii="Times New Roman" w:hAnsi="Times New Roman" w:eastAsia="仿宋_GB2312"/>
          <w:sz w:val="32"/>
          <w:szCs w:val="32"/>
        </w:rPr>
        <w:t>”</w:t>
      </w:r>
      <w:r>
        <w:rPr>
          <w:rFonts w:ascii="Times New Roman" w:hAnsi="Times New Roman" w:eastAsia="仿宋_GB2312"/>
          <w:sz w:val="32"/>
          <w:szCs w:val="32"/>
        </w:rPr>
        <w:t>、家访工作机制作用，指导监护人做好用眼管理，凝聚家校协同防控合力。</w:t>
      </w:r>
    </w:p>
    <w:p w14:paraId="072977D9">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四、工作要求</w:t>
      </w:r>
    </w:p>
    <w:p w14:paraId="7ACAF9FF">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（一）加强组织统筹</w:t>
      </w:r>
    </w:p>
    <w:p w14:paraId="2195C7A8">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各地教育主管部门要协同卫健、疾控等部门力量，结合本地实际指导辖区学校、幼儿园逐项落实任务，重点补齐农村地区、薄弱学校防控短板，做好校医、保健人员配备培训，夯实近视防控专业力量。</w:t>
      </w:r>
    </w:p>
    <w:p w14:paraId="50AF1C06">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（二）务求工作实效</w:t>
      </w:r>
    </w:p>
    <w:p w14:paraId="0B704E0F">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决杜绝形式主义，不搞过度留痕，聚焦视力监测、户外活动、电子产品管控、家庭宣教等核心任务落地，认真梳理本地近视防控突出问题，以宣传月为契机推动常态化工作提质增效。严禁无资质机构入校开展视力检测、商业推介等活动。</w:t>
      </w:r>
    </w:p>
    <w:p w14:paraId="71E5B0A3">
      <w:pPr>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（三）做好总结报送</w:t>
      </w:r>
    </w:p>
    <w:p w14:paraId="6ED05179">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请各市（州）教育主管部门梳理本地区宣传教育月开展情况、典型经验做法、问题整改成效，形成书面总结，于11月10日前报送至教育厅体卫艺处电子邮箱：twyc04@sc.edu.cn。</w:t>
      </w:r>
    </w:p>
    <w:p w14:paraId="3436026D">
      <w:pPr>
        <w:spacing w:line="600" w:lineRule="exact"/>
        <w:ind w:firstLine="640" w:firstLineChars="200"/>
        <w:rPr>
          <w:rFonts w:ascii="Times New Roman" w:hAnsi="Times New Roman" w:eastAsia="仿宋_GB2312"/>
          <w:sz w:val="32"/>
          <w:szCs w:val="32"/>
        </w:rPr>
      </w:pPr>
    </w:p>
    <w:p w14:paraId="3408035D">
      <w:pPr>
        <w:spacing w:line="600" w:lineRule="exact"/>
        <w:ind w:firstLine="640" w:firstLineChars="200"/>
        <w:rPr>
          <w:rFonts w:ascii="Times New Roman" w:hAnsi="Times New Roman" w:eastAsia="仿宋_GB2312"/>
          <w:sz w:val="32"/>
          <w:szCs w:val="32"/>
        </w:rPr>
      </w:pPr>
    </w:p>
    <w:p w14:paraId="0332D56F">
      <w:pPr>
        <w:spacing w:line="600" w:lineRule="exact"/>
        <w:ind w:firstLine="640" w:firstLineChars="200"/>
        <w:rPr>
          <w:rFonts w:ascii="Times New Roman" w:hAnsi="Times New Roman" w:eastAsia="仿宋_GB2312"/>
          <w:sz w:val="32"/>
          <w:szCs w:val="32"/>
        </w:rPr>
      </w:pPr>
    </w:p>
    <w:p w14:paraId="7A43DC17">
      <w:pPr>
        <w:spacing w:line="600" w:lineRule="exact"/>
        <w:ind w:firstLine="4000" w:firstLineChars="1250"/>
        <w:jc w:val="center"/>
        <w:rPr>
          <w:rFonts w:ascii="Times New Roman" w:hAnsi="Times New Roman" w:eastAsia="仿宋_GB2312"/>
          <w:sz w:val="32"/>
          <w:szCs w:val="32"/>
        </w:rPr>
      </w:pPr>
      <w:r>
        <w:rPr>
          <w:rFonts w:ascii="Times New Roman" w:hAnsi="Times New Roman" w:eastAsia="仿宋_GB2312"/>
          <w:sz w:val="32"/>
          <w:szCs w:val="32"/>
        </w:rPr>
        <w:t>四川省教育厅</w:t>
      </w:r>
    </w:p>
    <w:p w14:paraId="66C4B724">
      <w:pPr>
        <w:spacing w:line="600" w:lineRule="exact"/>
        <w:ind w:firstLine="4000" w:firstLineChars="1250"/>
        <w:jc w:val="center"/>
        <w:rPr>
          <w:rFonts w:ascii="Times New Roman" w:hAnsi="Times New Roman" w:eastAsia="仿宋_GB2312"/>
          <w:sz w:val="32"/>
          <w:szCs w:val="32"/>
        </w:rPr>
      </w:pPr>
      <w:r>
        <w:rPr>
          <w:rFonts w:ascii="Times New Roman" w:hAnsi="Times New Roman" w:eastAsia="仿宋_GB2312"/>
          <w:sz w:val="32"/>
          <w:szCs w:val="32"/>
        </w:rPr>
        <w:t>2026年9月9日</w:t>
      </w:r>
    </w:p>
    <w:p w14:paraId="7D596541">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clear="all"/>
      </w:r>
    </w:p>
    <w:p w14:paraId="767B2B5A">
      <w:pPr>
        <w:rPr>
          <w:rFonts w:eastAsia="方正小标宋_GBK"/>
        </w:rPr>
      </w:pPr>
    </w:p>
    <w:p w14:paraId="4EDFD5A5">
      <w:pPr>
        <w:rPr>
          <w:rFonts w:eastAsia="方正小标宋_GBK"/>
        </w:rPr>
      </w:pPr>
    </w:p>
    <w:p w14:paraId="40045F1A">
      <w:pPr>
        <w:rPr>
          <w:rFonts w:eastAsia="方正小标宋_GBK"/>
        </w:rPr>
      </w:pPr>
    </w:p>
    <w:p w14:paraId="51C1C777">
      <w:pPr>
        <w:rPr>
          <w:rFonts w:eastAsia="方正小标宋_GBK"/>
        </w:rPr>
      </w:pPr>
    </w:p>
    <w:p w14:paraId="023E45F4">
      <w:pPr>
        <w:rPr>
          <w:rFonts w:eastAsia="方正小标宋_GBK"/>
        </w:rPr>
      </w:pPr>
    </w:p>
    <w:p w14:paraId="7EF033BC">
      <w:pPr>
        <w:rPr>
          <w:rFonts w:eastAsia="方正小标宋_GBK"/>
        </w:rPr>
      </w:pPr>
    </w:p>
    <w:p w14:paraId="234590FE">
      <w:pPr>
        <w:rPr>
          <w:rFonts w:eastAsia="方正小标宋_GBK"/>
        </w:rPr>
      </w:pPr>
    </w:p>
    <w:p w14:paraId="24456027">
      <w:pPr>
        <w:rPr>
          <w:rFonts w:eastAsia="方正小标宋_GBK"/>
        </w:rPr>
      </w:pPr>
    </w:p>
    <w:p w14:paraId="2C833C1E">
      <w:pPr>
        <w:rPr>
          <w:rFonts w:eastAsia="方正小标宋_GBK"/>
        </w:rPr>
      </w:pPr>
    </w:p>
    <w:p w14:paraId="59F2F2BA">
      <w:pPr>
        <w:rPr>
          <w:rFonts w:eastAsia="方正小标宋_GBK"/>
        </w:rPr>
      </w:pPr>
    </w:p>
    <w:p w14:paraId="15AB00CE">
      <w:pPr>
        <w:rPr>
          <w:rFonts w:eastAsia="方正小标宋_GBK"/>
        </w:rPr>
      </w:pPr>
    </w:p>
    <w:p w14:paraId="18D257D9">
      <w:pPr>
        <w:rPr>
          <w:rFonts w:eastAsia="方正小标宋_GBK"/>
        </w:rPr>
      </w:pPr>
    </w:p>
    <w:p w14:paraId="6083CAF0">
      <w:pPr>
        <w:rPr>
          <w:rFonts w:eastAsia="方正小标宋_GBK"/>
        </w:rPr>
      </w:pPr>
    </w:p>
    <w:p w14:paraId="52BA7A82">
      <w:pPr>
        <w:rPr>
          <w:rFonts w:eastAsia="方正小标宋_GBK"/>
        </w:rPr>
      </w:pPr>
    </w:p>
    <w:p w14:paraId="23E26C9C">
      <w:pPr>
        <w:rPr>
          <w:rFonts w:eastAsia="方正小标宋_GBK"/>
        </w:rPr>
      </w:pPr>
    </w:p>
    <w:p w14:paraId="7BCFAAFD">
      <w:pPr>
        <w:rPr>
          <w:rFonts w:eastAsia="方正小标宋_GBK"/>
        </w:rPr>
      </w:pPr>
    </w:p>
    <w:p w14:paraId="395B1457">
      <w:pPr>
        <w:rPr>
          <w:rFonts w:eastAsia="方正小标宋_GBK"/>
        </w:rPr>
      </w:pPr>
    </w:p>
    <w:p w14:paraId="48DD2A93">
      <w:pPr>
        <w:rPr>
          <w:rFonts w:eastAsia="方正小标宋_GBK"/>
        </w:rPr>
      </w:pPr>
    </w:p>
    <w:p w14:paraId="3FB339E5">
      <w:pPr>
        <w:rPr>
          <w:rFonts w:eastAsia="方正小标宋_GBK"/>
        </w:rPr>
      </w:pPr>
    </w:p>
    <w:p w14:paraId="5EB6C4C2">
      <w:pPr>
        <w:rPr>
          <w:rFonts w:eastAsia="方正小标宋_GBK"/>
        </w:rPr>
      </w:pPr>
    </w:p>
    <w:p w14:paraId="30DBBA18">
      <w:pPr>
        <w:rPr>
          <w:rFonts w:eastAsia="方正小标宋_GBK"/>
        </w:rPr>
      </w:pPr>
    </w:p>
    <w:p w14:paraId="49E45D8C">
      <w:pPr>
        <w:rPr>
          <w:rFonts w:eastAsia="方正小标宋_GBK"/>
        </w:rPr>
      </w:pPr>
    </w:p>
    <w:p w14:paraId="1873B347">
      <w:pPr>
        <w:rPr>
          <w:rFonts w:eastAsia="方正小标宋_GBK"/>
        </w:rPr>
      </w:pPr>
    </w:p>
    <w:p w14:paraId="6DC6AAAB">
      <w:pPr>
        <w:rPr>
          <w:rFonts w:eastAsia="方正小标宋_GBK"/>
        </w:rPr>
      </w:pPr>
    </w:p>
    <w:p w14:paraId="54D25846">
      <w:pPr>
        <w:rPr>
          <w:rFonts w:eastAsia="方正小标宋_GBK"/>
        </w:rPr>
      </w:pPr>
    </w:p>
    <w:p w14:paraId="7E11D5F4">
      <w:pPr>
        <w:rPr>
          <w:rFonts w:eastAsia="方正小标宋_GBK"/>
        </w:rPr>
      </w:pPr>
    </w:p>
    <w:p w14:paraId="7E16DBCE">
      <w:pPr>
        <w:rPr>
          <w:rFonts w:eastAsia="方正小标宋_GBK"/>
        </w:rPr>
      </w:pPr>
    </w:p>
    <w:p w14:paraId="2882F923">
      <w:pPr>
        <w:rPr>
          <w:rFonts w:eastAsia="方正小标宋_GBK"/>
        </w:rPr>
      </w:pPr>
    </w:p>
    <w:p w14:paraId="1C3A38CF">
      <w:pPr>
        <w:rPr>
          <w:rFonts w:eastAsia="方正小标宋_GBK"/>
        </w:rPr>
      </w:pPr>
    </w:p>
    <w:p w14:paraId="4486F98E">
      <w:pPr>
        <w:rPr>
          <w:rFonts w:eastAsia="方正小标宋_GBK"/>
        </w:rPr>
      </w:pPr>
    </w:p>
    <w:p w14:paraId="43545BD3">
      <w:pPr>
        <w:rPr>
          <w:rFonts w:eastAsia="方正小标宋_GBK"/>
        </w:rPr>
      </w:pPr>
    </w:p>
    <w:p w14:paraId="14D31C02">
      <w:pPr>
        <w:rPr>
          <w:rFonts w:eastAsia="方正小标宋_GBK"/>
        </w:rPr>
      </w:pPr>
    </w:p>
    <w:p w14:paraId="6B9730BA">
      <w:pPr>
        <w:rPr>
          <w:rFonts w:eastAsia="方正小标宋_GBK"/>
        </w:rPr>
      </w:pPr>
    </w:p>
    <w:p w14:paraId="29B1C436">
      <w:pPr>
        <w:rPr>
          <w:rFonts w:eastAsia="方正小标宋_GBK"/>
        </w:rPr>
      </w:pPr>
    </w:p>
    <w:p w14:paraId="58339815">
      <w:pPr>
        <w:rPr>
          <w:rFonts w:eastAsia="方正小标宋_GBK"/>
        </w:rPr>
      </w:pPr>
    </w:p>
    <w:p w14:paraId="34321114">
      <w:pPr>
        <w:rPr>
          <w:rFonts w:eastAsia="方正小标宋_GBK"/>
        </w:rPr>
      </w:pPr>
    </w:p>
    <w:p w14:paraId="082B0F78">
      <w:pPr>
        <w:rPr>
          <w:rFonts w:eastAsia="方正小标宋_GBK"/>
        </w:rPr>
      </w:pPr>
    </w:p>
    <w:p w14:paraId="48197B62">
      <w:pPr>
        <w:rPr>
          <w:rFonts w:eastAsia="方正小标宋_GBK"/>
        </w:rPr>
      </w:pPr>
    </w:p>
    <w:p w14:paraId="69D3ACC7">
      <w:pPr>
        <w:rPr>
          <w:rFonts w:eastAsia="方正小标宋_GBK"/>
        </w:rPr>
      </w:pPr>
    </w:p>
    <w:p w14:paraId="0AC5BBCA">
      <w:pPr>
        <w:rPr>
          <w:rFonts w:eastAsia="方正小标宋_GBK"/>
        </w:rPr>
      </w:pPr>
    </w:p>
    <w:p w14:paraId="16F7388B">
      <w:pPr>
        <w:rPr>
          <w:rFonts w:eastAsia="方正小标宋_GBK"/>
        </w:rPr>
      </w:pPr>
    </w:p>
    <w:p w14:paraId="6AF3F301">
      <w:pPr>
        <w:rPr>
          <w:rFonts w:eastAsia="方正小标宋_GBK"/>
        </w:rPr>
      </w:pPr>
    </w:p>
    <w:p w14:paraId="29A9E63D">
      <w:pPr>
        <w:rPr>
          <w:rFonts w:eastAsia="方正小标宋_GBK"/>
        </w:rPr>
      </w:pPr>
    </w:p>
    <w:p w14:paraId="3FFBFCB7">
      <w:pPr>
        <w:rPr>
          <w:rFonts w:eastAsia="方正小标宋_GBK"/>
        </w:rPr>
      </w:pPr>
    </w:p>
    <w:p w14:paraId="2073BDB2">
      <w:pPr>
        <w:rPr>
          <w:rFonts w:eastAsia="方正小标宋_GBK"/>
        </w:rPr>
      </w:pPr>
    </w:p>
    <w:p w14:paraId="445C0612">
      <w:pPr>
        <w:rPr>
          <w:rFonts w:eastAsia="方正小标宋_GBK"/>
        </w:rPr>
      </w:pPr>
    </w:p>
    <w:p w14:paraId="08FDB7FB">
      <w:pPr>
        <w:rPr>
          <w:rFonts w:eastAsia="方正小标宋_GBK"/>
        </w:rPr>
      </w:pPr>
    </w:p>
    <w:p w14:paraId="7472FEC8">
      <w:pPr>
        <w:rPr>
          <w:rFonts w:eastAsia="方正小标宋_GBK"/>
        </w:rPr>
      </w:pPr>
      <w:bookmarkStart w:id="5" w:name="_GoBack"/>
      <w:bookmarkEnd w:id="5"/>
    </w:p>
    <w:sectPr>
      <w:footerReference r:id="rId4" w:type="default"/>
      <w:type w:val="continuous"/>
      <w:pgSz w:w="11906" w:h="16838"/>
      <w:pgMar w:top="2098" w:right="1474" w:bottom="1984" w:left="1587" w:header="1701" w:footer="1588" w:gutter="0"/>
      <w:cols w:space="1701"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iberation Sans">
    <w:altName w:val="Segoe Print"/>
    <w:panose1 w:val="020B0604020202020204"/>
    <w:charset w:val="00"/>
    <w:family w:val="auto"/>
    <w:pitch w:val="default"/>
    <w:sig w:usb0="00000000" w:usb1="00000000" w:usb2="00000021" w:usb3="00000000" w:csb0="600001BF" w:csb1="DFF70000"/>
  </w:font>
  <w:font w:name="Noto Sans CJK SC Regular">
    <w:altName w:val="Malgun Gothic"/>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E18BF">
    <w:pPr>
      <w:pStyle w:val="17"/>
      <w:framePr w:wrap="around" w:vAnchor="text" w:hAnchor="margin" w:xAlign="outside" w:y="1"/>
      <w:ind w:left="210" w:leftChars="100" w:right="210" w:rightChars="100"/>
      <w:rPr>
        <w:rStyle w:val="32"/>
        <w:rFonts w:ascii="宋体" w:hAnsi="宋体"/>
        <w:sz w:val="28"/>
        <w:szCs w:val="28"/>
      </w:rPr>
    </w:pPr>
    <w:bookmarkStart w:id="0" w:name="OLE_LINK1"/>
    <w:bookmarkStart w:id="1" w:name="OLE_LINK3"/>
    <w:bookmarkStart w:id="2" w:name="OLE_LINK2"/>
    <w:bookmarkStart w:id="3" w:name="OLE_LINK6"/>
    <w:bookmarkStart w:id="4" w:name="OLE_LINK7"/>
    <w:r>
      <w:rPr>
        <w:rStyle w:val="32"/>
        <w:rFonts w:hint="eastAsia" w:ascii="宋体" w:hAnsi="宋体"/>
        <w:sz w:val="28"/>
        <w:szCs w:val="28"/>
      </w:rPr>
      <w:t xml:space="preserve">— </w:t>
    </w:r>
    <w:r>
      <w:rPr>
        <w:rStyle w:val="32"/>
        <w:rFonts w:ascii="宋体" w:hAnsi="宋体"/>
        <w:sz w:val="28"/>
        <w:szCs w:val="28"/>
      </w:rPr>
      <w:fldChar w:fldCharType="begin"/>
    </w:r>
    <w:r>
      <w:rPr>
        <w:rStyle w:val="32"/>
        <w:rFonts w:ascii="宋体" w:hAnsi="宋体"/>
        <w:sz w:val="28"/>
        <w:szCs w:val="28"/>
      </w:rPr>
      <w:instrText xml:space="preserve">PAGE  </w:instrText>
    </w:r>
    <w:r>
      <w:rPr>
        <w:rStyle w:val="32"/>
        <w:rFonts w:ascii="宋体" w:hAnsi="宋体"/>
        <w:sz w:val="28"/>
        <w:szCs w:val="28"/>
      </w:rPr>
      <w:fldChar w:fldCharType="separate"/>
    </w:r>
    <w:r>
      <w:rPr>
        <w:rStyle w:val="32"/>
        <w:rFonts w:ascii="宋体" w:hAnsi="宋体"/>
        <w:sz w:val="28"/>
        <w:szCs w:val="28"/>
      </w:rPr>
      <w:t>6</w:t>
    </w:r>
    <w:r>
      <w:rPr>
        <w:rStyle w:val="32"/>
        <w:rFonts w:ascii="宋体" w:hAnsi="宋体"/>
        <w:sz w:val="28"/>
        <w:szCs w:val="28"/>
      </w:rPr>
      <w:fldChar w:fldCharType="end"/>
    </w:r>
    <w:r>
      <w:rPr>
        <w:rStyle w:val="32"/>
        <w:rFonts w:hint="eastAsia" w:ascii="宋体" w:hAnsi="宋体"/>
        <w:sz w:val="28"/>
        <w:szCs w:val="28"/>
      </w:rPr>
      <w:t xml:space="preserve"> —</w:t>
    </w:r>
    <w:bookmarkEnd w:id="0"/>
    <w:bookmarkEnd w:id="1"/>
    <w:bookmarkEnd w:id="2"/>
    <w:bookmarkEnd w:id="3"/>
    <w:bookmarkEnd w:id="4"/>
  </w:p>
  <w:p w14:paraId="6B8AF413">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0D2E8">
    <w:pPr>
      <w:pStyle w:val="17"/>
      <w:framePr w:wrap="around" w:vAnchor="text" w:hAnchor="margin" w:xAlign="outside" w:y="1"/>
      <w:ind w:left="210" w:leftChars="100" w:right="210" w:rightChars="100"/>
      <w:rPr>
        <w:rStyle w:val="32"/>
        <w:rFonts w:ascii="宋体" w:hAnsi="宋体"/>
        <w:sz w:val="28"/>
        <w:szCs w:val="28"/>
      </w:rPr>
    </w:pPr>
    <w:r>
      <w:rPr>
        <w:rStyle w:val="32"/>
        <w:rFonts w:hint="eastAsia" w:ascii="宋体" w:hAnsi="宋体"/>
        <w:sz w:val="28"/>
        <w:szCs w:val="28"/>
      </w:rPr>
      <w:t xml:space="preserve">— </w:t>
    </w:r>
    <w:r>
      <w:rPr>
        <w:rStyle w:val="32"/>
        <w:rFonts w:ascii="宋体" w:hAnsi="宋体"/>
        <w:sz w:val="28"/>
        <w:szCs w:val="28"/>
      </w:rPr>
      <w:fldChar w:fldCharType="begin"/>
    </w:r>
    <w:r>
      <w:rPr>
        <w:rStyle w:val="32"/>
        <w:rFonts w:ascii="宋体" w:hAnsi="宋体"/>
        <w:sz w:val="28"/>
        <w:szCs w:val="28"/>
      </w:rPr>
      <w:instrText xml:space="preserve">PAGE  </w:instrText>
    </w:r>
    <w:r>
      <w:rPr>
        <w:rStyle w:val="32"/>
        <w:rFonts w:ascii="宋体" w:hAnsi="宋体"/>
        <w:sz w:val="28"/>
        <w:szCs w:val="28"/>
      </w:rPr>
      <w:fldChar w:fldCharType="separate"/>
    </w:r>
    <w:r>
      <w:rPr>
        <w:rStyle w:val="32"/>
        <w:rFonts w:ascii="宋体" w:hAnsi="宋体"/>
        <w:sz w:val="28"/>
        <w:szCs w:val="28"/>
      </w:rPr>
      <w:t>5</w:t>
    </w:r>
    <w:r>
      <w:rPr>
        <w:rStyle w:val="32"/>
        <w:rFonts w:ascii="宋体" w:hAnsi="宋体"/>
        <w:sz w:val="28"/>
        <w:szCs w:val="28"/>
      </w:rPr>
      <w:fldChar w:fldCharType="end"/>
    </w:r>
    <w:r>
      <w:rPr>
        <w:rStyle w:val="32"/>
        <w:rFonts w:hint="eastAsia" w:ascii="宋体" w:hAnsi="宋体"/>
        <w:sz w:val="28"/>
        <w:szCs w:val="28"/>
      </w:rPr>
      <w:t xml:space="preserve"> —</w:t>
    </w:r>
  </w:p>
  <w:p w14:paraId="48E74755">
    <w:pPr>
      <w:pStyle w:val="1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revisionView w:markup="0"/>
  <w:documentProtection w:enforcement="0"/>
  <w:defaultTabStop w:val="420"/>
  <w:evenAndOddHeaders w:val="1"/>
  <w:drawingGridHorizontalSpacing w:val="0"/>
  <w:drawingGridVerticalSpacing w:val="312"/>
  <w:displayHorizontalDrawingGridEvery w:val="0"/>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5F4"/>
    <w:rsid w:val="00A155F4"/>
    <w:rsid w:val="00B851E2"/>
    <w:rsid w:val="00F46638"/>
    <w:rsid w:val="1A2B05FE"/>
    <w:rsid w:val="513C6B8A"/>
    <w:rsid w:val="67A34B94"/>
    <w:rsid w:val="921B8A1A"/>
    <w:rsid w:val="F3E7C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color w:val="000000"/>
      <w:kern w:val="2"/>
      <w:sz w:val="21"/>
      <w:szCs w:val="24"/>
      <w:lang w:val="en-US" w:eastAsia="zh-CN" w:bidi="ar-SA"/>
    </w:rPr>
  </w:style>
  <w:style w:type="paragraph" w:styleId="2">
    <w:name w:val="heading 1"/>
    <w:basedOn w:val="1"/>
    <w:next w:val="1"/>
    <w:link w:val="53"/>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54"/>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55"/>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56"/>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57"/>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58"/>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9"/>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60"/>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61"/>
    <w:unhideWhenUsed/>
    <w:qFormat/>
    <w:uiPriority w:val="9"/>
    <w:pPr>
      <w:keepNext/>
      <w:keepLines/>
      <w:spacing w:before="320" w:after="200"/>
      <w:outlineLvl w:val="8"/>
    </w:pPr>
    <w:rPr>
      <w:rFonts w:ascii="Arial" w:hAnsi="Arial" w:eastAsia="Arial" w:cs="Arial"/>
      <w:i/>
      <w:iCs/>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pPr>
  </w:style>
  <w:style w:type="paragraph" w:styleId="14">
    <w:name w:val="toc 3"/>
    <w:basedOn w:val="1"/>
    <w:next w:val="1"/>
    <w:unhideWhenUsed/>
    <w:qFormat/>
    <w:uiPriority w:val="39"/>
    <w:pPr>
      <w:spacing w:after="57"/>
      <w:ind w:left="567"/>
    </w:pPr>
  </w:style>
  <w:style w:type="paragraph" w:styleId="15">
    <w:name w:val="toc 8"/>
    <w:basedOn w:val="1"/>
    <w:next w:val="1"/>
    <w:unhideWhenUsed/>
    <w:qFormat/>
    <w:uiPriority w:val="39"/>
    <w:pPr>
      <w:spacing w:after="57"/>
      <w:ind w:left="1984"/>
    </w:pPr>
  </w:style>
  <w:style w:type="paragraph" w:styleId="16">
    <w:name w:val="endnote text"/>
    <w:basedOn w:val="1"/>
    <w:link w:val="199"/>
    <w:semiHidden/>
    <w:unhideWhenUsed/>
    <w:qFormat/>
    <w:uiPriority w:val="99"/>
    <w:rPr>
      <w:sz w:val="20"/>
    </w:rPr>
  </w:style>
  <w:style w:type="paragraph" w:styleId="17">
    <w:name w:val="footer"/>
    <w:basedOn w:val="1"/>
    <w:link w:val="72"/>
    <w:unhideWhenUsed/>
    <w:qFormat/>
    <w:uiPriority w:val="99"/>
    <w:pPr>
      <w:tabs>
        <w:tab w:val="center" w:pos="7143"/>
        <w:tab w:val="right" w:pos="14287"/>
      </w:tabs>
    </w:pPr>
  </w:style>
  <w:style w:type="paragraph" w:styleId="18">
    <w:name w:val="header"/>
    <w:basedOn w:val="1"/>
    <w:link w:val="70"/>
    <w:unhideWhenUsed/>
    <w:qFormat/>
    <w:uiPriority w:val="99"/>
    <w:pPr>
      <w:tabs>
        <w:tab w:val="center" w:pos="7143"/>
        <w:tab w:val="right" w:pos="14287"/>
      </w:tabs>
    </w:pPr>
  </w:style>
  <w:style w:type="paragraph" w:styleId="19">
    <w:name w:val="toc 1"/>
    <w:basedOn w:val="1"/>
    <w:next w:val="1"/>
    <w:unhideWhenUsed/>
    <w:qFormat/>
    <w:uiPriority w:val="39"/>
    <w:pPr>
      <w:spacing w:after="57"/>
    </w:pPr>
  </w:style>
  <w:style w:type="paragraph" w:styleId="20">
    <w:name w:val="toc 4"/>
    <w:basedOn w:val="1"/>
    <w:next w:val="1"/>
    <w:unhideWhenUsed/>
    <w:qFormat/>
    <w:uiPriority w:val="39"/>
    <w:pPr>
      <w:spacing w:after="57"/>
      <w:ind w:left="850"/>
    </w:pPr>
  </w:style>
  <w:style w:type="paragraph" w:styleId="21">
    <w:name w:val="Subtitle"/>
    <w:basedOn w:val="1"/>
    <w:next w:val="1"/>
    <w:link w:val="65"/>
    <w:qFormat/>
    <w:uiPriority w:val="11"/>
    <w:pPr>
      <w:spacing w:before="200" w:after="200"/>
    </w:pPr>
    <w:rPr>
      <w:sz w:val="24"/>
    </w:rPr>
  </w:style>
  <w:style w:type="paragraph" w:styleId="22">
    <w:name w:val="footnote text"/>
    <w:basedOn w:val="1"/>
    <w:link w:val="198"/>
    <w:semiHidden/>
    <w:unhideWhenUsed/>
    <w:qFormat/>
    <w:uiPriority w:val="99"/>
    <w:pPr>
      <w:spacing w:after="40"/>
    </w:pPr>
    <w:rPr>
      <w:sz w:val="18"/>
    </w:rPr>
  </w:style>
  <w:style w:type="paragraph" w:styleId="23">
    <w:name w:val="toc 6"/>
    <w:basedOn w:val="1"/>
    <w:next w:val="1"/>
    <w:unhideWhenUsed/>
    <w:qFormat/>
    <w:uiPriority w:val="39"/>
    <w:pPr>
      <w:spacing w:after="57"/>
      <w:ind w:left="1417"/>
    </w:pPr>
  </w:style>
  <w:style w:type="paragraph" w:styleId="24">
    <w:name w:val="table of figures"/>
    <w:basedOn w:val="1"/>
    <w:next w:val="1"/>
    <w:unhideWhenUsed/>
    <w:qFormat/>
    <w:uiPriority w:val="99"/>
  </w:style>
  <w:style w:type="paragraph" w:styleId="25">
    <w:name w:val="toc 2"/>
    <w:basedOn w:val="1"/>
    <w:next w:val="1"/>
    <w:unhideWhenUsed/>
    <w:qFormat/>
    <w:uiPriority w:val="39"/>
    <w:pPr>
      <w:spacing w:after="57"/>
      <w:ind w:left="283"/>
    </w:pPr>
  </w:style>
  <w:style w:type="paragraph" w:styleId="26">
    <w:name w:val="toc 9"/>
    <w:basedOn w:val="1"/>
    <w:next w:val="1"/>
    <w:unhideWhenUsed/>
    <w:qFormat/>
    <w:uiPriority w:val="39"/>
    <w:pPr>
      <w:spacing w:after="57"/>
      <w:ind w:left="2268"/>
    </w:pPr>
  </w:style>
  <w:style w:type="paragraph" w:styleId="27">
    <w:name w:val="Title"/>
    <w:basedOn w:val="1"/>
    <w:next w:val="1"/>
    <w:link w:val="64"/>
    <w:qFormat/>
    <w:uiPriority w:val="10"/>
    <w:pPr>
      <w:spacing w:before="300" w:after="200"/>
      <w:contextualSpacing/>
    </w:pPr>
    <w:rPr>
      <w:sz w:val="48"/>
      <w:szCs w:val="48"/>
    </w:rPr>
  </w:style>
  <w:style w:type="table" w:styleId="29">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endnote reference"/>
    <w:semiHidden/>
    <w:unhideWhenUsed/>
    <w:qFormat/>
    <w:uiPriority w:val="99"/>
    <w:rPr>
      <w:vertAlign w:val="superscript"/>
    </w:rPr>
  </w:style>
  <w:style w:type="character" w:styleId="32">
    <w:name w:val="page number"/>
    <w:uiPriority w:val="99"/>
  </w:style>
  <w:style w:type="character" w:styleId="33">
    <w:name w:val="Hyperlink"/>
    <w:unhideWhenUsed/>
    <w:uiPriority w:val="99"/>
    <w:rPr>
      <w:color w:val="0000FF" w:themeColor="hyperlink"/>
      <w:u w:val="single"/>
      <w14:textFill>
        <w14:solidFill>
          <w14:schemeClr w14:val="hlink"/>
        </w14:solidFill>
      </w14:textFill>
    </w:rPr>
  </w:style>
  <w:style w:type="character" w:styleId="34">
    <w:name w:val="footnote reference"/>
    <w:unhideWhenUsed/>
    <w:uiPriority w:val="99"/>
    <w:rPr>
      <w:vertAlign w:val="superscript"/>
    </w:rPr>
  </w:style>
  <w:style w:type="character" w:customStyle="1" w:styleId="35">
    <w:name w:val="Heading 1 Char"/>
    <w:basedOn w:val="30"/>
    <w:qFormat/>
    <w:uiPriority w:val="9"/>
    <w:rPr>
      <w:rFonts w:ascii="Arial" w:hAnsi="Arial" w:eastAsia="Arial" w:cs="Arial"/>
      <w:sz w:val="40"/>
      <w:szCs w:val="40"/>
    </w:rPr>
  </w:style>
  <w:style w:type="character" w:customStyle="1" w:styleId="36">
    <w:name w:val="Heading 2 Char"/>
    <w:basedOn w:val="30"/>
    <w:uiPriority w:val="9"/>
    <w:rPr>
      <w:rFonts w:ascii="Arial" w:hAnsi="Arial" w:eastAsia="Arial" w:cs="Arial"/>
      <w:sz w:val="34"/>
    </w:rPr>
  </w:style>
  <w:style w:type="character" w:customStyle="1" w:styleId="37">
    <w:name w:val="Heading 3 Char"/>
    <w:basedOn w:val="30"/>
    <w:uiPriority w:val="9"/>
    <w:rPr>
      <w:rFonts w:ascii="Arial" w:hAnsi="Arial" w:eastAsia="Arial" w:cs="Arial"/>
      <w:sz w:val="30"/>
      <w:szCs w:val="30"/>
    </w:rPr>
  </w:style>
  <w:style w:type="character" w:customStyle="1" w:styleId="38">
    <w:name w:val="Heading 4 Char"/>
    <w:basedOn w:val="30"/>
    <w:qFormat/>
    <w:uiPriority w:val="9"/>
    <w:rPr>
      <w:rFonts w:ascii="Arial" w:hAnsi="Arial" w:eastAsia="Arial" w:cs="Arial"/>
      <w:b/>
      <w:bCs/>
      <w:sz w:val="26"/>
      <w:szCs w:val="26"/>
    </w:rPr>
  </w:style>
  <w:style w:type="character" w:customStyle="1" w:styleId="39">
    <w:name w:val="Heading 5 Char"/>
    <w:basedOn w:val="30"/>
    <w:uiPriority w:val="9"/>
    <w:rPr>
      <w:rFonts w:ascii="Arial" w:hAnsi="Arial" w:eastAsia="Arial" w:cs="Arial"/>
      <w:b/>
      <w:bCs/>
      <w:sz w:val="24"/>
      <w:szCs w:val="24"/>
    </w:rPr>
  </w:style>
  <w:style w:type="character" w:customStyle="1" w:styleId="40">
    <w:name w:val="Heading 6 Char"/>
    <w:basedOn w:val="30"/>
    <w:qFormat/>
    <w:uiPriority w:val="9"/>
    <w:rPr>
      <w:rFonts w:ascii="Arial" w:hAnsi="Arial" w:eastAsia="Arial" w:cs="Arial"/>
      <w:b/>
      <w:bCs/>
      <w:sz w:val="22"/>
      <w:szCs w:val="22"/>
    </w:rPr>
  </w:style>
  <w:style w:type="character" w:customStyle="1" w:styleId="41">
    <w:name w:val="Heading 7 Char"/>
    <w:basedOn w:val="30"/>
    <w:qFormat/>
    <w:uiPriority w:val="9"/>
    <w:rPr>
      <w:rFonts w:ascii="Arial" w:hAnsi="Arial" w:eastAsia="Arial" w:cs="Arial"/>
      <w:b/>
      <w:bCs/>
      <w:i/>
      <w:iCs/>
      <w:sz w:val="22"/>
      <w:szCs w:val="22"/>
    </w:rPr>
  </w:style>
  <w:style w:type="character" w:customStyle="1" w:styleId="42">
    <w:name w:val="Heading 8 Char"/>
    <w:basedOn w:val="30"/>
    <w:qFormat/>
    <w:uiPriority w:val="9"/>
    <w:rPr>
      <w:rFonts w:ascii="Arial" w:hAnsi="Arial" w:eastAsia="Arial" w:cs="Arial"/>
      <w:i/>
      <w:iCs/>
      <w:sz w:val="22"/>
      <w:szCs w:val="22"/>
    </w:rPr>
  </w:style>
  <w:style w:type="character" w:customStyle="1" w:styleId="43">
    <w:name w:val="Heading 9 Char"/>
    <w:basedOn w:val="30"/>
    <w:qFormat/>
    <w:uiPriority w:val="9"/>
    <w:rPr>
      <w:rFonts w:ascii="Arial" w:hAnsi="Arial" w:eastAsia="Arial" w:cs="Arial"/>
      <w:i/>
      <w:iCs/>
      <w:sz w:val="21"/>
      <w:szCs w:val="21"/>
    </w:rPr>
  </w:style>
  <w:style w:type="character" w:customStyle="1" w:styleId="44">
    <w:name w:val="Title Char"/>
    <w:basedOn w:val="30"/>
    <w:qFormat/>
    <w:uiPriority w:val="10"/>
    <w:rPr>
      <w:sz w:val="48"/>
      <w:szCs w:val="48"/>
    </w:rPr>
  </w:style>
  <w:style w:type="character" w:customStyle="1" w:styleId="45">
    <w:name w:val="Subtitle Char"/>
    <w:basedOn w:val="30"/>
    <w:qFormat/>
    <w:uiPriority w:val="11"/>
    <w:rPr>
      <w:sz w:val="24"/>
      <w:szCs w:val="24"/>
    </w:rPr>
  </w:style>
  <w:style w:type="character" w:customStyle="1" w:styleId="46">
    <w:name w:val="Quote Char"/>
    <w:qFormat/>
    <w:uiPriority w:val="29"/>
    <w:rPr>
      <w:i/>
    </w:rPr>
  </w:style>
  <w:style w:type="character" w:customStyle="1" w:styleId="47">
    <w:name w:val="Intense Quote Char"/>
    <w:qFormat/>
    <w:uiPriority w:val="30"/>
    <w:rPr>
      <w:i/>
    </w:rPr>
  </w:style>
  <w:style w:type="character" w:customStyle="1" w:styleId="48">
    <w:name w:val="Header Char"/>
    <w:basedOn w:val="30"/>
    <w:qFormat/>
    <w:uiPriority w:val="99"/>
  </w:style>
  <w:style w:type="character" w:customStyle="1" w:styleId="49">
    <w:name w:val="Caption Char"/>
    <w:qFormat/>
    <w:uiPriority w:val="99"/>
  </w:style>
  <w:style w:type="character" w:customStyle="1" w:styleId="50">
    <w:name w:val="Footnote Text Char"/>
    <w:qFormat/>
    <w:uiPriority w:val="99"/>
    <w:rPr>
      <w:sz w:val="18"/>
    </w:rPr>
  </w:style>
  <w:style w:type="character" w:customStyle="1" w:styleId="51">
    <w:name w:val="Endnote Text Char"/>
    <w:qFormat/>
    <w:uiPriority w:val="99"/>
    <w:rPr>
      <w:sz w:val="20"/>
    </w:rPr>
  </w:style>
  <w:style w:type="paragraph" w:customStyle="1" w:styleId="52">
    <w:name w:val="TOC 标题1"/>
    <w:unhideWhenUsed/>
    <w:qFormat/>
    <w:uiPriority w:val="39"/>
    <w:rPr>
      <w:rFonts w:ascii="Times New Roman" w:hAnsi="Times New Roman" w:eastAsia="宋体" w:cs="Times New Roman"/>
      <w:lang w:val="en-US" w:eastAsia="zh-CN" w:bidi="ar-SA"/>
    </w:rPr>
  </w:style>
  <w:style w:type="character" w:customStyle="1" w:styleId="53">
    <w:name w:val="标题 1 Char"/>
    <w:link w:val="2"/>
    <w:qFormat/>
    <w:uiPriority w:val="9"/>
    <w:rPr>
      <w:rFonts w:ascii="Arial" w:hAnsi="Arial" w:eastAsia="Arial" w:cs="Arial"/>
      <w:sz w:val="40"/>
      <w:szCs w:val="40"/>
    </w:rPr>
  </w:style>
  <w:style w:type="character" w:customStyle="1" w:styleId="54">
    <w:name w:val="标题 2 Char"/>
    <w:link w:val="3"/>
    <w:qFormat/>
    <w:uiPriority w:val="9"/>
    <w:rPr>
      <w:rFonts w:ascii="Arial" w:hAnsi="Arial" w:eastAsia="Arial" w:cs="Arial"/>
      <w:sz w:val="34"/>
    </w:rPr>
  </w:style>
  <w:style w:type="character" w:customStyle="1" w:styleId="55">
    <w:name w:val="标题 3 Char"/>
    <w:link w:val="4"/>
    <w:qFormat/>
    <w:uiPriority w:val="9"/>
    <w:rPr>
      <w:rFonts w:ascii="Arial" w:hAnsi="Arial" w:eastAsia="Arial" w:cs="Arial"/>
      <w:sz w:val="30"/>
      <w:szCs w:val="30"/>
    </w:rPr>
  </w:style>
  <w:style w:type="character" w:customStyle="1" w:styleId="56">
    <w:name w:val="标题 4 Char"/>
    <w:link w:val="5"/>
    <w:qFormat/>
    <w:uiPriority w:val="9"/>
    <w:rPr>
      <w:rFonts w:ascii="Arial" w:hAnsi="Arial" w:eastAsia="Arial" w:cs="Arial"/>
      <w:b/>
      <w:bCs/>
      <w:sz w:val="26"/>
      <w:szCs w:val="26"/>
    </w:rPr>
  </w:style>
  <w:style w:type="character" w:customStyle="1" w:styleId="57">
    <w:name w:val="标题 5 Char"/>
    <w:link w:val="6"/>
    <w:uiPriority w:val="9"/>
    <w:rPr>
      <w:rFonts w:ascii="Arial" w:hAnsi="Arial" w:eastAsia="Arial" w:cs="Arial"/>
      <w:b/>
      <w:bCs/>
      <w:sz w:val="24"/>
      <w:szCs w:val="24"/>
    </w:rPr>
  </w:style>
  <w:style w:type="character" w:customStyle="1" w:styleId="58">
    <w:name w:val="标题 6 Char"/>
    <w:link w:val="7"/>
    <w:qFormat/>
    <w:uiPriority w:val="9"/>
    <w:rPr>
      <w:rFonts w:ascii="Arial" w:hAnsi="Arial" w:eastAsia="Arial" w:cs="Arial"/>
      <w:b/>
      <w:bCs/>
      <w:sz w:val="22"/>
      <w:szCs w:val="22"/>
    </w:rPr>
  </w:style>
  <w:style w:type="character" w:customStyle="1" w:styleId="59">
    <w:name w:val="标题 7 Char"/>
    <w:link w:val="8"/>
    <w:qFormat/>
    <w:uiPriority w:val="9"/>
    <w:rPr>
      <w:rFonts w:ascii="Arial" w:hAnsi="Arial" w:eastAsia="Arial" w:cs="Arial"/>
      <w:b/>
      <w:bCs/>
      <w:i/>
      <w:iCs/>
      <w:sz w:val="22"/>
      <w:szCs w:val="22"/>
    </w:rPr>
  </w:style>
  <w:style w:type="character" w:customStyle="1" w:styleId="60">
    <w:name w:val="标题 8 Char"/>
    <w:link w:val="9"/>
    <w:qFormat/>
    <w:uiPriority w:val="9"/>
    <w:rPr>
      <w:rFonts w:ascii="Arial" w:hAnsi="Arial" w:eastAsia="Arial" w:cs="Arial"/>
      <w:i/>
      <w:iCs/>
      <w:sz w:val="22"/>
      <w:szCs w:val="22"/>
    </w:rPr>
  </w:style>
  <w:style w:type="character" w:customStyle="1" w:styleId="61">
    <w:name w:val="标题 9 Char"/>
    <w:link w:val="10"/>
    <w:qFormat/>
    <w:uiPriority w:val="9"/>
    <w:rPr>
      <w:rFonts w:ascii="Arial" w:hAnsi="Arial" w:eastAsia="Arial" w:cs="Arial"/>
      <w:i/>
      <w:iCs/>
      <w:sz w:val="21"/>
      <w:szCs w:val="21"/>
    </w:rPr>
  </w:style>
  <w:style w:type="paragraph" w:styleId="62">
    <w:name w:val="List Paragraph"/>
    <w:basedOn w:val="1"/>
    <w:qFormat/>
    <w:uiPriority w:val="34"/>
    <w:pPr>
      <w:ind w:left="720"/>
      <w:contextualSpacing/>
    </w:pPr>
  </w:style>
  <w:style w:type="paragraph" w:styleId="63">
    <w:name w:val="No Spacing"/>
    <w:qFormat/>
    <w:uiPriority w:val="1"/>
    <w:rPr>
      <w:rFonts w:ascii="Times New Roman" w:hAnsi="Times New Roman" w:eastAsia="宋体" w:cs="Times New Roman"/>
      <w:lang w:val="en-US" w:eastAsia="zh-CN" w:bidi="ar-SA"/>
    </w:rPr>
  </w:style>
  <w:style w:type="character" w:customStyle="1" w:styleId="64">
    <w:name w:val="标题 Char"/>
    <w:link w:val="27"/>
    <w:qFormat/>
    <w:uiPriority w:val="10"/>
    <w:rPr>
      <w:sz w:val="48"/>
      <w:szCs w:val="48"/>
    </w:rPr>
  </w:style>
  <w:style w:type="character" w:customStyle="1" w:styleId="65">
    <w:name w:val="副标题 Char"/>
    <w:link w:val="21"/>
    <w:qFormat/>
    <w:uiPriority w:val="11"/>
    <w:rPr>
      <w:sz w:val="24"/>
      <w:szCs w:val="24"/>
    </w:rPr>
  </w:style>
  <w:style w:type="paragraph" w:styleId="66">
    <w:name w:val="Quote"/>
    <w:basedOn w:val="1"/>
    <w:next w:val="1"/>
    <w:link w:val="67"/>
    <w:qFormat/>
    <w:uiPriority w:val="29"/>
    <w:pPr>
      <w:ind w:left="720" w:right="720"/>
    </w:pPr>
    <w:rPr>
      <w:i/>
    </w:rPr>
  </w:style>
  <w:style w:type="character" w:customStyle="1" w:styleId="67">
    <w:name w:val="引用 Char"/>
    <w:link w:val="66"/>
    <w:qFormat/>
    <w:uiPriority w:val="29"/>
    <w:rPr>
      <w:i/>
    </w:rPr>
  </w:style>
  <w:style w:type="paragraph" w:styleId="68">
    <w:name w:val="Intense Quote"/>
    <w:basedOn w:val="1"/>
    <w:next w:val="1"/>
    <w:link w:val="6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9">
    <w:name w:val="明显引用 Char"/>
    <w:link w:val="68"/>
    <w:qFormat/>
    <w:uiPriority w:val="30"/>
    <w:rPr>
      <w:i/>
    </w:rPr>
  </w:style>
  <w:style w:type="character" w:customStyle="1" w:styleId="70">
    <w:name w:val="页眉 Char"/>
    <w:link w:val="18"/>
    <w:qFormat/>
    <w:uiPriority w:val="99"/>
  </w:style>
  <w:style w:type="character" w:customStyle="1" w:styleId="71">
    <w:name w:val="Footer Char"/>
    <w:qFormat/>
    <w:uiPriority w:val="99"/>
  </w:style>
  <w:style w:type="character" w:customStyle="1" w:styleId="72">
    <w:name w:val="页脚 Char"/>
    <w:link w:val="17"/>
    <w:qFormat/>
    <w:uiPriority w:val="99"/>
  </w:style>
  <w:style w:type="table" w:customStyle="1" w:styleId="73">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4">
    <w:name w:val="Plain Table 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5">
    <w:name w:val="Plain Table 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6">
    <w:name w:val="Plain Table 3"/>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7">
    <w:name w:val="Plain Table 4"/>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8">
    <w:name w:val="Plain Table 5"/>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9">
    <w:name w:val="Grid Table 1 Light"/>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0">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1">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2">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3">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4">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5">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6">
    <w:name w:val="Grid Table 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7">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8">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9">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0">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1">
    <w:name w:val="Grid Table 2 - Accent 5"/>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2">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3">
    <w:name w:val="Grid Table 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4">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5">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6">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7">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8">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9">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0">
    <w:name w:val="Grid Table 4"/>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1">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2">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3">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4">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5">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6">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7">
    <w:name w:val="Grid Table 5 Dark"/>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8">
    <w:name w:val="Grid Table 5 Dark- Accent 1"/>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9">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10">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1">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2">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3">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4">
    <w:name w:val="Grid Table 6 Colorful"/>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5">
    <w:name w:val="Grid Table 6 Colorful - Accent 1"/>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6">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7">
    <w:name w:val="Grid Table 6 Colorful - Accent 3"/>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8">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9">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0">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21">
    <w:name w:val="Grid Table 7 Colorful"/>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2">
    <w:name w:val="Grid Table 7 Colorful - Accent 1"/>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3">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4">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5">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6">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7">
    <w:name w:val="Grid Table 7 Colorful - Accent 6"/>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8">
    <w:name w:val="List Table 1 Light"/>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9">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30">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1">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2">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3">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4">
    <w:name w:val="List Table 1 Light - Accent 6"/>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5">
    <w:name w:val="List Table 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6">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7">
    <w:name w:val="List Table 2 - Accent 2"/>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8">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9">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0">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1">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2">
    <w:name w:val="List Table 3"/>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3">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4">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5">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6">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7">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8">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9">
    <w:name w:val="List Table 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0">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1">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2">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3">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4">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5">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6">
    <w:name w:val="List Table 5 Dark"/>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7">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8">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9">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60">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1">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2">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3">
    <w:name w:val="List Table 6 Colorful"/>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4">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5">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6">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7">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8">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9">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0">
    <w:name w:val="List Table 7 Colorful"/>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1">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2">
    <w:name w:val="List Table 7 Colorful - Accent 2"/>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3">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4">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5">
    <w:name w:val="List Table 7 Colorful - Accent 5"/>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6">
    <w:name w:val="List Table 7 Colorful - Accent 6"/>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7">
    <w:name w:val="Lined - Accen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8">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9">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0">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1">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2">
    <w:name w:val="Lined - Accent 5"/>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3">
    <w:name w:val="Lined - Accent 6"/>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4">
    <w:name w:val="Bordered &amp; Lined - Accen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5">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6">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7">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8">
    <w:name w:val="Bordered &amp; Lined - Accent 4"/>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9">
    <w:name w:val="Bordered &amp; Lined - Accent 5"/>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90">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1">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2">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3">
    <w:name w:val="Bordered - Accent 2"/>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4">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5">
    <w:name w:val="Bordered - Accent 4"/>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6">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7">
    <w:name w:val="Bordered - Accent 6"/>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8">
    <w:name w:val="脚注文本 Char"/>
    <w:link w:val="22"/>
    <w:qFormat/>
    <w:uiPriority w:val="99"/>
    <w:rPr>
      <w:sz w:val="18"/>
    </w:rPr>
  </w:style>
  <w:style w:type="character" w:customStyle="1" w:styleId="199">
    <w:name w:val="尾注文本 Char"/>
    <w:link w:val="16"/>
    <w:uiPriority w:val="99"/>
    <w:rPr>
      <w:sz w:val="20"/>
    </w:rPr>
  </w:style>
  <w:style w:type="paragraph" w:customStyle="1" w:styleId="200">
    <w:name w:val="TOC 标题11"/>
    <w:unhideWhenUsed/>
    <w:uiPriority w:val="39"/>
    <w:rPr>
      <w:rFonts w:ascii="Times New Roman" w:hAnsi="Times New Roman" w:eastAsia="宋体" w:cs="Times New Roman"/>
      <w:lang w:val="en-US" w:eastAsia="zh-CN" w:bidi="ar-SA"/>
    </w:rPr>
  </w:style>
  <w:style w:type="character" w:customStyle="1" w:styleId="201">
    <w:name w:val="默认段落字体11"/>
    <w:qFormat/>
    <w:uiPriority w:val="0"/>
  </w:style>
  <w:style w:type="table" w:customStyle="1" w:styleId="202">
    <w:name w:val="普通表格1"/>
    <w:semiHidden/>
    <w:qFormat/>
    <w:uiPriority w:val="0"/>
    <w:tblPr>
      <w:tblCellMar>
        <w:top w:w="0" w:type="dxa"/>
        <w:left w:w="0" w:type="dxa"/>
        <w:bottom w:w="0" w:type="dxa"/>
        <w:right w:w="0" w:type="dxa"/>
      </w:tblCellMar>
    </w:tblPr>
  </w:style>
  <w:style w:type="paragraph" w:customStyle="1" w:styleId="203">
    <w:name w:val="题注1"/>
    <w:basedOn w:val="1"/>
    <w:qFormat/>
    <w:uiPriority w:val="0"/>
    <w:pPr>
      <w:suppressLineNumbers/>
      <w:spacing w:before="120" w:after="120"/>
    </w:pPr>
    <w:rPr>
      <w:i/>
      <w:iCs/>
      <w:sz w:val="24"/>
    </w:rPr>
  </w:style>
  <w:style w:type="paragraph" w:customStyle="1" w:styleId="204">
    <w:name w:val="正文文本1"/>
    <w:basedOn w:val="1"/>
    <w:uiPriority w:val="0"/>
    <w:pPr>
      <w:spacing w:after="140" w:line="276" w:lineRule="auto"/>
    </w:pPr>
  </w:style>
  <w:style w:type="paragraph" w:customStyle="1" w:styleId="205">
    <w:name w:val="列表1"/>
    <w:basedOn w:val="204"/>
    <w:uiPriority w:val="0"/>
  </w:style>
  <w:style w:type="character" w:customStyle="1" w:styleId="206">
    <w:name w:val="默认段落字体1"/>
    <w:uiPriority w:val="0"/>
  </w:style>
  <w:style w:type="paragraph" w:customStyle="1" w:styleId="207">
    <w:name w:val="Heading"/>
    <w:basedOn w:val="1"/>
    <w:next w:val="204"/>
    <w:qFormat/>
    <w:uiPriority w:val="0"/>
    <w:pPr>
      <w:keepNext/>
      <w:spacing w:before="240" w:after="120"/>
    </w:pPr>
    <w:rPr>
      <w:rFonts w:ascii="Liberation Sans" w:hAnsi="Liberation Sans" w:eastAsia="Noto Sans CJK SC Regular" w:cs="Noto Sans CJK SC Regular"/>
      <w:sz w:val="28"/>
      <w:szCs w:val="28"/>
    </w:rPr>
  </w:style>
  <w:style w:type="paragraph" w:customStyle="1" w:styleId="208">
    <w:name w:val="Index"/>
    <w:basedOn w:val="1"/>
    <w:uiPriority w:val="0"/>
    <w:pPr>
      <w:suppressLineNumber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2277</Words>
  <Characters>2336</Characters>
  <Lines>17</Lines>
  <Paragraphs>4</Paragraphs>
  <TotalTime>6</TotalTime>
  <ScaleCrop>false</ScaleCrop>
  <LinksUpToDate>false</LinksUpToDate>
  <CharactersWithSpaces>2336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2018-11-28T09:47:00Z</dcterms:created>
  <dc:creator>us</dc:creator>
  <cp:lastModifiedBy>胡建伟</cp:lastModifiedBy>
  <dcterms:modified xsi:type="dcterms:W3CDTF">2026-09-11T07:40:05Z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CBAC68AA0ED640608D2EDA4D0E50236B_13</vt:lpwstr>
  </property>
  <property fmtid="{D5CDD505-2E9C-101B-9397-08002B2CF9AE}" pid="4" name="KSOTemplateDocerSaveRecord">
    <vt:lpwstr>eyJoZGlkIjoiYWU4ODcyZTJlZWFiNjFhYmQzMTcxZWUwODQ0OGI0YmEiLCJ1c2VySWQiOiI1NDIyMzAwMzAifQ==</vt:lpwstr>
  </property>
</Properties>
</file>