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B6EF2">
      <w:pPr>
        <w:widowControl/>
        <w:spacing w:line="560" w:lineRule="exact"/>
        <w:jc w:val="left"/>
        <w:rPr>
          <w:rFonts w:eastAsia="黑体"/>
          <w:bCs/>
          <w:sz w:val="32"/>
          <w:szCs w:val="32"/>
        </w:rPr>
      </w:pPr>
      <w:r>
        <w:rPr>
          <w:rFonts w:eastAsia="黑体"/>
          <w:bCs/>
          <w:sz w:val="32"/>
          <w:szCs w:val="32"/>
        </w:rPr>
        <w:t>附件</w:t>
      </w:r>
      <w:r>
        <w:rPr>
          <w:rFonts w:hint="eastAsia" w:eastAsia="黑体"/>
          <w:bCs/>
          <w:sz w:val="32"/>
          <w:szCs w:val="32"/>
        </w:rPr>
        <w:t>3</w:t>
      </w:r>
    </w:p>
    <w:p w14:paraId="0BC97DE8">
      <w:pPr>
        <w:pStyle w:val="187"/>
        <w:spacing w:line="600" w:lineRule="exact"/>
        <w:ind w:left="0" w:leftChars="0" w:firstLine="640"/>
        <w:rPr>
          <w:rFonts w:ascii="Times New Roman" w:hAnsi="Times New Roman" w:eastAsia="仿宋_GB2312"/>
          <w:sz w:val="32"/>
        </w:rPr>
      </w:pPr>
    </w:p>
    <w:p w14:paraId="5B2F4257">
      <w:pPr>
        <w:spacing w:line="700" w:lineRule="exact"/>
        <w:jc w:val="center"/>
        <w:rPr>
          <w:rFonts w:eastAsia="方正小标宋_GBK" w:cs="方正小标宋_GBK"/>
          <w:sz w:val="44"/>
          <w:szCs w:val="44"/>
        </w:rPr>
      </w:pPr>
      <w:r>
        <w:rPr>
          <w:rFonts w:hint="eastAsia" w:eastAsia="方正小标宋_GBK" w:cs="方正小标宋_GBK"/>
          <w:sz w:val="44"/>
          <w:szCs w:val="44"/>
        </w:rPr>
        <w:t>“笔墨中国”书写大赛四川赛区方案</w:t>
      </w:r>
    </w:p>
    <w:p w14:paraId="543E086E">
      <w:pPr>
        <w:spacing w:line="600" w:lineRule="exact"/>
        <w:ind w:firstLine="640" w:firstLineChars="200"/>
        <w:rPr>
          <w:rFonts w:eastAsia="仿宋_GB2312"/>
          <w:sz w:val="32"/>
          <w:szCs w:val="32"/>
        </w:rPr>
      </w:pPr>
    </w:p>
    <w:p w14:paraId="17D1705C">
      <w:pPr>
        <w:spacing w:line="600" w:lineRule="exact"/>
        <w:ind w:firstLine="640" w:firstLineChars="200"/>
        <w:rPr>
          <w:rFonts w:hint="eastAsia" w:eastAsia="仿宋_GB2312"/>
          <w:sz w:val="32"/>
          <w:szCs w:val="32"/>
        </w:rPr>
      </w:pPr>
      <w:r>
        <w:rPr>
          <w:rFonts w:hint="eastAsia" w:eastAsia="仿宋_GB2312"/>
          <w:sz w:val="32"/>
          <w:szCs w:val="32"/>
        </w:rPr>
        <w:t>“笔墨中国”书写大赛（四川赛区）由四川轻化工大学具体承办。方案如下。</w:t>
      </w:r>
    </w:p>
    <w:p w14:paraId="7E8D8483">
      <w:pPr>
        <w:spacing w:line="600" w:lineRule="exact"/>
        <w:ind w:firstLine="640" w:firstLineChars="200"/>
        <w:rPr>
          <w:rFonts w:hint="eastAsia" w:eastAsia="黑体"/>
          <w:sz w:val="32"/>
          <w:szCs w:val="32"/>
        </w:rPr>
      </w:pPr>
      <w:r>
        <w:rPr>
          <w:rFonts w:hint="eastAsia" w:eastAsia="黑体"/>
          <w:sz w:val="32"/>
          <w:szCs w:val="32"/>
        </w:rPr>
        <w:t>一、参赛对象及组别</w:t>
      </w:r>
    </w:p>
    <w:p w14:paraId="1E965B35">
      <w:pPr>
        <w:spacing w:line="600" w:lineRule="exact"/>
        <w:ind w:firstLine="640" w:firstLineChars="200"/>
        <w:rPr>
          <w:rFonts w:hint="eastAsia" w:eastAsia="仿宋_GB2312"/>
          <w:sz w:val="32"/>
          <w:szCs w:val="32"/>
        </w:rPr>
      </w:pPr>
      <w:r>
        <w:rPr>
          <w:rFonts w:hint="eastAsia" w:eastAsia="仿宋_GB2312"/>
          <w:sz w:val="32"/>
          <w:szCs w:val="32"/>
        </w:rPr>
        <w:t>参赛对象为全省大中小学校在校学生、在职教师、社会人员。</w:t>
      </w:r>
    </w:p>
    <w:p w14:paraId="1E2BF02C">
      <w:pPr>
        <w:spacing w:line="600" w:lineRule="exact"/>
        <w:ind w:firstLine="640" w:firstLineChars="200"/>
        <w:rPr>
          <w:rFonts w:hint="eastAsia" w:eastAsia="楷体_GB2312"/>
          <w:sz w:val="32"/>
          <w:szCs w:val="32"/>
        </w:rPr>
      </w:pPr>
      <w:r>
        <w:rPr>
          <w:rFonts w:hint="eastAsia" w:eastAsia="楷体_GB2312"/>
          <w:sz w:val="32"/>
          <w:szCs w:val="32"/>
        </w:rPr>
        <w:t>（一）书法作品类</w:t>
      </w:r>
    </w:p>
    <w:p w14:paraId="020028F2">
      <w:pPr>
        <w:spacing w:line="600" w:lineRule="exact"/>
        <w:ind w:firstLine="640" w:firstLineChars="200"/>
        <w:rPr>
          <w:rFonts w:hint="eastAsia" w:eastAsia="仿宋_GB2312"/>
          <w:sz w:val="32"/>
          <w:szCs w:val="32"/>
        </w:rPr>
      </w:pPr>
      <w:r>
        <w:rPr>
          <w:rFonts w:hint="eastAsia" w:eastAsia="仿宋_GB2312"/>
          <w:sz w:val="32"/>
          <w:szCs w:val="32"/>
        </w:rPr>
        <w:t>设硬笔、毛笔和粉笔三个类别。其中硬笔、毛笔每个类别分为小学生组、中学生组（含中职学生）、大学生组（含高职学生、研究生、留学生）、教师组（含幼儿园在职教师、在站博士后）、行业部门组、军人组、社会人员组；粉笔类别分为教师组（含幼儿园在职教师、在站博士后）、师范院校学生组（含中职师范院校学生），共16个组别。</w:t>
      </w:r>
    </w:p>
    <w:p w14:paraId="6B1135F1">
      <w:pPr>
        <w:numPr>
          <w:ilvl w:val="255"/>
          <w:numId w:val="0"/>
        </w:numPr>
        <w:spacing w:line="600" w:lineRule="exact"/>
        <w:ind w:firstLine="640" w:firstLineChars="200"/>
        <w:rPr>
          <w:rFonts w:hint="eastAsia" w:eastAsia="楷体_GB2312"/>
          <w:sz w:val="32"/>
          <w:szCs w:val="32"/>
        </w:rPr>
      </w:pPr>
      <w:r>
        <w:rPr>
          <w:rFonts w:hint="eastAsia" w:eastAsia="楷体_GB2312"/>
          <w:sz w:val="32"/>
          <w:szCs w:val="32"/>
        </w:rPr>
        <w:t>（二）书法文创类</w:t>
      </w:r>
    </w:p>
    <w:p w14:paraId="600BC94D">
      <w:pPr>
        <w:spacing w:line="600" w:lineRule="exact"/>
        <w:ind w:firstLine="640" w:firstLineChars="200"/>
        <w:rPr>
          <w:rFonts w:hint="eastAsia" w:eastAsia="仿宋_GB2312"/>
          <w:sz w:val="32"/>
          <w:szCs w:val="32"/>
        </w:rPr>
      </w:pPr>
      <w:r>
        <w:rPr>
          <w:rFonts w:hint="eastAsia" w:eastAsia="仿宋_GB2312"/>
          <w:sz w:val="32"/>
          <w:szCs w:val="32"/>
        </w:rPr>
        <w:t>设硬笔、毛笔两个类别。每个类别分青少年组（18岁以下）、成人组（18岁及以上），共4个组别。</w:t>
      </w:r>
    </w:p>
    <w:p w14:paraId="228850F1">
      <w:pPr>
        <w:spacing w:line="600" w:lineRule="exact"/>
        <w:ind w:firstLine="640" w:firstLineChars="200"/>
        <w:rPr>
          <w:rFonts w:hint="eastAsia" w:eastAsia="黑体"/>
          <w:sz w:val="32"/>
          <w:szCs w:val="32"/>
        </w:rPr>
      </w:pPr>
      <w:r>
        <w:rPr>
          <w:rFonts w:hint="eastAsia" w:eastAsia="黑体"/>
          <w:sz w:val="32"/>
          <w:szCs w:val="32"/>
        </w:rPr>
        <w:t>二、参赛要求</w:t>
      </w:r>
    </w:p>
    <w:p w14:paraId="67744EFE">
      <w:pPr>
        <w:spacing w:line="600" w:lineRule="exact"/>
        <w:ind w:firstLine="640" w:firstLineChars="200"/>
        <w:rPr>
          <w:rFonts w:hint="eastAsia" w:eastAsia="楷体_GB2312"/>
          <w:sz w:val="32"/>
          <w:szCs w:val="32"/>
        </w:rPr>
      </w:pPr>
      <w:r>
        <w:rPr>
          <w:rFonts w:hint="eastAsia" w:eastAsia="楷体_GB2312"/>
          <w:sz w:val="32"/>
          <w:szCs w:val="32"/>
        </w:rPr>
        <w:t>（一）作品内容</w:t>
      </w:r>
    </w:p>
    <w:p w14:paraId="20861827">
      <w:pPr>
        <w:spacing w:line="600" w:lineRule="exact"/>
        <w:ind w:firstLine="640" w:firstLineChars="200"/>
        <w:rPr>
          <w:rFonts w:hint="eastAsia" w:eastAsia="仿宋_GB2312"/>
          <w:sz w:val="32"/>
          <w:szCs w:val="32"/>
        </w:rPr>
      </w:pPr>
      <w:r>
        <w:rPr>
          <w:rFonts w:hint="eastAsia" w:eastAsia="仿宋_GB2312"/>
          <w:sz w:val="32"/>
          <w:szCs w:val="32"/>
        </w:rPr>
        <w:t>体现中华优秀文化、爱国情怀以及反映积极向上时代精神的古今诗文、楹联、词语、名言警句，或中华优秀图书的内容节选等。当代内容以正式出版或由省级以上广播电视等主流媒体公开发表，出版、发表时间2年以上，并被广泛传播，内容主题须相对完整。改编、自创以及网络文本等不在征集之列。</w:t>
      </w:r>
    </w:p>
    <w:p w14:paraId="4841AF61">
      <w:pPr>
        <w:spacing w:line="600" w:lineRule="exact"/>
        <w:ind w:firstLine="640" w:firstLineChars="200"/>
        <w:rPr>
          <w:rFonts w:hint="eastAsia" w:eastAsia="仿宋_GB2312"/>
          <w:sz w:val="32"/>
          <w:szCs w:val="32"/>
        </w:rPr>
      </w:pPr>
      <w:r>
        <w:rPr>
          <w:rFonts w:hint="eastAsia" w:eastAsia="仿宋_GB2312"/>
          <w:sz w:val="32"/>
          <w:szCs w:val="32"/>
        </w:rPr>
        <w:t>硬笔类、粉笔类作品须使用规范汉字（以《通用规范汉字表》为依据），字体要求使用楷书或行书，楷书书写笔画形态和离合关系正确，行书作品不能随意改变笔画形态或夹带草书；毛笔类作品鼓励使用规范汉字，因艺术表达需要可使用繁体字及经典碑帖中常见的写法，字体不限（篆书、草书须附释文），但须通篇统一。不可提交临摹作品。</w:t>
      </w:r>
    </w:p>
    <w:p w14:paraId="5C542494">
      <w:pPr>
        <w:spacing w:line="600" w:lineRule="exact"/>
        <w:ind w:firstLine="640" w:firstLineChars="200"/>
        <w:rPr>
          <w:rFonts w:hint="eastAsia" w:eastAsia="楷体_GB2312"/>
          <w:sz w:val="32"/>
          <w:szCs w:val="32"/>
        </w:rPr>
      </w:pPr>
      <w:r>
        <w:rPr>
          <w:rFonts w:hint="eastAsia" w:eastAsia="楷体_GB2312"/>
          <w:sz w:val="32"/>
          <w:szCs w:val="32"/>
        </w:rPr>
        <w:t>（二）作品要求</w:t>
      </w:r>
    </w:p>
    <w:p w14:paraId="25A41D14">
      <w:pPr>
        <w:spacing w:line="600" w:lineRule="exact"/>
        <w:ind w:firstLine="640" w:firstLineChars="200"/>
        <w:rPr>
          <w:rFonts w:hint="eastAsia" w:eastAsia="仿宋_GB2312"/>
          <w:sz w:val="32"/>
          <w:szCs w:val="32"/>
        </w:rPr>
      </w:pPr>
      <w:r>
        <w:rPr>
          <w:rFonts w:hint="eastAsia" w:eastAsia="仿宋_GB2312"/>
          <w:sz w:val="32"/>
          <w:szCs w:val="32"/>
        </w:rPr>
        <w:t>1.书法作品类</w:t>
      </w:r>
    </w:p>
    <w:p w14:paraId="570BED03">
      <w:pPr>
        <w:spacing w:line="600" w:lineRule="exact"/>
        <w:ind w:firstLine="640" w:firstLineChars="200"/>
        <w:rPr>
          <w:rFonts w:hint="eastAsia" w:eastAsia="仿宋_GB2312"/>
          <w:sz w:val="32"/>
          <w:szCs w:val="32"/>
        </w:rPr>
      </w:pPr>
      <w:r>
        <w:rPr>
          <w:rFonts w:hint="eastAsia" w:eastAsia="仿宋_GB2312"/>
          <w:sz w:val="32"/>
          <w:szCs w:val="32"/>
        </w:rPr>
        <w:t>硬笔类作品可使用铅笔（仅限小学一、二年级学生）、中性笔、钢笔、秀丽笔。硬笔类作品用纸规格A3纸（29.7cm×42cm）以内。</w:t>
      </w:r>
    </w:p>
    <w:p w14:paraId="7165787D">
      <w:pPr>
        <w:spacing w:line="600" w:lineRule="exact"/>
        <w:ind w:firstLine="640" w:firstLineChars="200"/>
        <w:rPr>
          <w:rFonts w:hint="eastAsia" w:eastAsia="仿宋_GB2312"/>
          <w:sz w:val="32"/>
          <w:szCs w:val="32"/>
        </w:rPr>
      </w:pPr>
      <w:r>
        <w:rPr>
          <w:rFonts w:hint="eastAsia" w:eastAsia="仿宋_GB2312"/>
          <w:sz w:val="32"/>
          <w:szCs w:val="32"/>
        </w:rPr>
        <w:t>毛笔类作品用纸规格为：小学生组用纸为四尺整张宣纸（138cm×69cm）以内，其他组别为六尺整张宣纸（95cm×180cm）以内，一律为竖式，不得托裱。手卷、册页等形式不在参赛范围之内。</w:t>
      </w:r>
    </w:p>
    <w:p w14:paraId="39894DDF">
      <w:pPr>
        <w:spacing w:line="600" w:lineRule="exact"/>
        <w:ind w:firstLine="640" w:firstLineChars="200"/>
        <w:rPr>
          <w:rFonts w:hint="eastAsia" w:eastAsia="仿宋_GB2312"/>
          <w:sz w:val="32"/>
          <w:szCs w:val="32"/>
        </w:rPr>
      </w:pPr>
      <w:r>
        <w:rPr>
          <w:rFonts w:hint="eastAsia" w:eastAsia="仿宋_GB2312"/>
          <w:sz w:val="32"/>
          <w:szCs w:val="32"/>
        </w:rPr>
        <w:t>粉笔类作品一律使用白色粉笔，横排横写。</w:t>
      </w:r>
    </w:p>
    <w:p w14:paraId="6598636B">
      <w:pPr>
        <w:spacing w:line="600" w:lineRule="exact"/>
        <w:ind w:firstLine="640" w:firstLineChars="200"/>
        <w:rPr>
          <w:rFonts w:hint="eastAsia" w:eastAsia="仿宋_GB2312"/>
          <w:sz w:val="32"/>
          <w:szCs w:val="32"/>
        </w:rPr>
      </w:pPr>
      <w:r>
        <w:rPr>
          <w:rFonts w:hint="eastAsia" w:eastAsia="仿宋_GB2312"/>
          <w:sz w:val="32"/>
          <w:szCs w:val="32"/>
        </w:rPr>
        <w:t>2.书法文创</w:t>
      </w:r>
      <w:bookmarkStart w:id="0" w:name="_Hlk225807173"/>
      <w:r>
        <w:rPr>
          <w:rFonts w:hint="eastAsia" w:eastAsia="仿宋_GB2312"/>
          <w:sz w:val="32"/>
          <w:szCs w:val="32"/>
        </w:rPr>
        <w:t>类</w:t>
      </w:r>
    </w:p>
    <w:p w14:paraId="55596EB8">
      <w:pPr>
        <w:spacing w:line="600" w:lineRule="exact"/>
        <w:ind w:firstLine="640" w:firstLineChars="200"/>
        <w:rPr>
          <w:rFonts w:hint="eastAsia" w:eastAsia="仿宋_GB2312"/>
          <w:sz w:val="32"/>
          <w:szCs w:val="32"/>
        </w:rPr>
      </w:pPr>
      <w:r>
        <w:rPr>
          <w:rFonts w:hint="eastAsia" w:eastAsia="仿宋_GB2312"/>
          <w:sz w:val="32"/>
          <w:szCs w:val="32"/>
        </w:rPr>
        <w:t>可使用硬笔书法或毛笔书法为主要表现形式。作品材质可选用甲骨、金属、石、玉、陶、竹、木、帛、布、纸等，作品呈现载体包括但不限于贺卡、成扇、板报、挂历、台历、书签、藏书票等多种形式。每件作品限采用一种载体形式，保证作品的整体性和完整性。</w:t>
      </w:r>
      <w:bookmarkEnd w:id="0"/>
    </w:p>
    <w:p w14:paraId="51143FDD">
      <w:pPr>
        <w:spacing w:line="600" w:lineRule="exact"/>
        <w:ind w:firstLine="640" w:firstLineChars="200"/>
        <w:rPr>
          <w:rFonts w:hint="eastAsia" w:eastAsia="楷体_GB2312"/>
          <w:sz w:val="32"/>
          <w:szCs w:val="32"/>
        </w:rPr>
      </w:pPr>
      <w:r>
        <w:rPr>
          <w:rFonts w:hint="eastAsia" w:eastAsia="楷体_GB2312"/>
          <w:sz w:val="32"/>
          <w:szCs w:val="32"/>
        </w:rPr>
        <w:t>（三）提交要求</w:t>
      </w:r>
    </w:p>
    <w:p w14:paraId="2D029D78">
      <w:pPr>
        <w:spacing w:line="600" w:lineRule="exact"/>
        <w:ind w:firstLine="640" w:firstLineChars="200"/>
        <w:rPr>
          <w:rFonts w:hint="eastAsia" w:eastAsia="仿宋_GB2312"/>
          <w:sz w:val="32"/>
          <w:szCs w:val="32"/>
        </w:rPr>
      </w:pPr>
      <w:r>
        <w:rPr>
          <w:rFonts w:hint="eastAsia" w:eastAsia="仿宋_GB2312"/>
          <w:sz w:val="32"/>
          <w:szCs w:val="32"/>
        </w:rPr>
        <w:t>参赛作品应为2026年新创作的作品，由参赛者独立完成。参赛人员需同时提交参赛作品实物、图片与书写视频（粉笔组不需提供作品实物），图片和视频要求如下：</w:t>
      </w:r>
    </w:p>
    <w:p w14:paraId="153B8D26">
      <w:pPr>
        <w:spacing w:line="600" w:lineRule="exact"/>
        <w:ind w:firstLine="640" w:firstLineChars="200"/>
        <w:rPr>
          <w:rFonts w:hint="eastAsia" w:eastAsia="仿宋_GB2312"/>
          <w:sz w:val="32"/>
          <w:szCs w:val="32"/>
        </w:rPr>
      </w:pPr>
      <w:r>
        <w:rPr>
          <w:rFonts w:hint="eastAsia" w:eastAsia="仿宋_GB2312"/>
          <w:sz w:val="32"/>
          <w:szCs w:val="32"/>
        </w:rPr>
        <w:t>1.参赛作品图片要求</w:t>
      </w:r>
    </w:p>
    <w:p w14:paraId="596B57AB">
      <w:pPr>
        <w:spacing w:line="600" w:lineRule="exact"/>
        <w:ind w:firstLine="640" w:firstLineChars="200"/>
        <w:rPr>
          <w:rFonts w:hint="eastAsia" w:eastAsia="仿宋_GB2312"/>
          <w:sz w:val="32"/>
          <w:szCs w:val="32"/>
        </w:rPr>
      </w:pPr>
      <w:r>
        <w:rPr>
          <w:rFonts w:hint="eastAsia" w:eastAsia="仿宋_GB2312"/>
          <w:sz w:val="32"/>
          <w:szCs w:val="32"/>
        </w:rPr>
        <w:t>硬笔类作品上传分辨率为300DPI以上的扫描图片；毛笔类、粉笔类作品上传正面、高清照片，格式为JPG或JPEG，大小为2—10MB，要求能体现作品整体效果与细节特点。书法文创序列作品需同时提交创作思路（800字以内）。</w:t>
      </w:r>
    </w:p>
    <w:p w14:paraId="10282848">
      <w:pPr>
        <w:numPr>
          <w:ilvl w:val="255"/>
          <w:numId w:val="0"/>
        </w:numPr>
        <w:spacing w:line="600" w:lineRule="exact"/>
        <w:ind w:firstLine="640" w:firstLineChars="200"/>
        <w:rPr>
          <w:rFonts w:hint="eastAsia" w:eastAsia="仿宋_GB2312"/>
          <w:sz w:val="32"/>
          <w:szCs w:val="32"/>
        </w:rPr>
      </w:pPr>
      <w:r>
        <w:rPr>
          <w:rFonts w:hint="eastAsia" w:eastAsia="仿宋_GB2312"/>
          <w:sz w:val="32"/>
          <w:szCs w:val="32"/>
        </w:rPr>
        <w:t>2.书写视频要求</w:t>
      </w:r>
    </w:p>
    <w:p w14:paraId="2CB5148C">
      <w:pPr>
        <w:spacing w:line="600" w:lineRule="exact"/>
        <w:ind w:firstLine="640" w:firstLineChars="200"/>
        <w:rPr>
          <w:rFonts w:hint="eastAsia" w:eastAsia="仿宋_GB2312"/>
          <w:sz w:val="32"/>
          <w:szCs w:val="32"/>
        </w:rPr>
      </w:pPr>
      <w:r>
        <w:rPr>
          <w:rFonts w:hint="eastAsia" w:eastAsia="仿宋_GB2312"/>
          <w:sz w:val="32"/>
          <w:szCs w:val="32"/>
        </w:rPr>
        <w:t>为体现作品为参赛者本人创作，请录制书写视频。要求横屏录制；书写开始前，参赛者手持带本人照片的证件，完整呈现上半身，持证展示时长不少于5秒；接着录制书写过程，仅需书写参赛作品起始部分的内容（2分钟，无需写完整作品）；书写时长达2分钟后，参赛者手持书写的部分作品内容，正对镜头展示5秒；视频全程连续无中断、无剪辑、非镜像，画面清晰；格式为MP4，300MB以内。</w:t>
      </w:r>
    </w:p>
    <w:p w14:paraId="3118B8BB">
      <w:pPr>
        <w:spacing w:line="600" w:lineRule="exact"/>
        <w:ind w:firstLine="640" w:firstLineChars="200"/>
        <w:rPr>
          <w:rFonts w:hint="eastAsia" w:eastAsia="楷体_GB2312"/>
          <w:sz w:val="32"/>
          <w:szCs w:val="32"/>
        </w:rPr>
      </w:pPr>
      <w:r>
        <w:rPr>
          <w:rFonts w:hint="eastAsia" w:eastAsia="楷体_GB2312"/>
          <w:sz w:val="32"/>
          <w:szCs w:val="32"/>
        </w:rPr>
        <w:t>（四）其他要求</w:t>
      </w:r>
    </w:p>
    <w:p w14:paraId="54ABC845">
      <w:pPr>
        <w:spacing w:line="600" w:lineRule="exact"/>
        <w:ind w:firstLine="640" w:firstLineChars="200"/>
        <w:rPr>
          <w:rFonts w:hint="eastAsia" w:eastAsia="仿宋_GB2312"/>
          <w:sz w:val="32"/>
          <w:szCs w:val="32"/>
        </w:rPr>
      </w:pPr>
      <w:r>
        <w:rPr>
          <w:rFonts w:hint="eastAsia" w:eastAsia="仿宋_GB2312"/>
          <w:sz w:val="32"/>
          <w:szCs w:val="32"/>
        </w:rPr>
        <w:t>参赛者应准确填写姓名、作品名称、所在单位（学校）全称等信息，须使用规范汉字，不得使用繁体字、异体字。</w:t>
      </w:r>
    </w:p>
    <w:p w14:paraId="1FB02306">
      <w:pPr>
        <w:spacing w:line="600" w:lineRule="exact"/>
        <w:ind w:firstLine="640" w:firstLineChars="200"/>
        <w:rPr>
          <w:rFonts w:hint="eastAsia" w:eastAsia="仿宋_GB2312"/>
          <w:sz w:val="32"/>
        </w:rPr>
      </w:pPr>
      <w:r>
        <w:rPr>
          <w:rFonts w:hint="eastAsia" w:eastAsia="仿宋_GB2312"/>
          <w:sz w:val="32"/>
          <w:szCs w:val="32"/>
        </w:rPr>
        <w:t>毛笔类作品填写书体信息，字体为篆书、草书的，在上传时须附释文。所有参赛作品提交时需附上所抄录内容的版本图片（直接扫描或拍摄出版物的相应章节）和出版物版本信息（图书的封面和版权页）。</w:t>
      </w:r>
    </w:p>
    <w:p w14:paraId="56547FE6">
      <w:pPr>
        <w:spacing w:line="600" w:lineRule="exact"/>
        <w:ind w:firstLine="640" w:firstLineChars="200"/>
        <w:rPr>
          <w:rFonts w:hint="eastAsia" w:eastAsia="仿宋_GB2312"/>
          <w:sz w:val="32"/>
          <w:szCs w:val="32"/>
        </w:rPr>
      </w:pPr>
      <w:r>
        <w:rPr>
          <w:rFonts w:hint="eastAsia" w:eastAsia="仿宋_GB2312"/>
          <w:sz w:val="32"/>
          <w:szCs w:val="32"/>
        </w:rPr>
        <w:t>每人限报1件作品，限报1名指导教师。同一作品的参赛者不得同时署名该作品的指导教师。指导多个作品获一等奖的指导教师不重复获得优秀指导教师奖。</w:t>
      </w:r>
    </w:p>
    <w:p w14:paraId="312A461F">
      <w:pPr>
        <w:spacing w:line="600" w:lineRule="exact"/>
        <w:ind w:firstLine="640" w:firstLineChars="200"/>
        <w:rPr>
          <w:rFonts w:hint="eastAsia" w:eastAsia="黑体"/>
          <w:sz w:val="32"/>
          <w:szCs w:val="32"/>
        </w:rPr>
      </w:pPr>
      <w:r>
        <w:rPr>
          <w:rFonts w:hint="eastAsia" w:eastAsia="黑体"/>
          <w:sz w:val="32"/>
          <w:szCs w:val="32"/>
        </w:rPr>
        <w:t>三、作品报送</w:t>
      </w:r>
    </w:p>
    <w:p w14:paraId="1F8A1C75">
      <w:pPr>
        <w:spacing w:line="600" w:lineRule="exact"/>
        <w:ind w:firstLine="640" w:firstLineChars="200"/>
        <w:rPr>
          <w:rFonts w:hint="eastAsia" w:eastAsia="楷体_GB2312"/>
          <w:sz w:val="32"/>
          <w:szCs w:val="32"/>
        </w:rPr>
      </w:pPr>
      <w:r>
        <w:rPr>
          <w:rFonts w:hint="eastAsia" w:eastAsia="楷体_GB2312"/>
          <w:sz w:val="32"/>
          <w:szCs w:val="32"/>
        </w:rPr>
        <w:t>（一）报送要求</w:t>
      </w:r>
    </w:p>
    <w:p w14:paraId="2264250D">
      <w:pPr>
        <w:spacing w:line="600" w:lineRule="exact"/>
        <w:ind w:firstLine="640" w:firstLineChars="200"/>
        <w:rPr>
          <w:rFonts w:hint="eastAsia" w:eastAsia="仿宋_GB2312"/>
          <w:sz w:val="32"/>
          <w:szCs w:val="32"/>
        </w:rPr>
      </w:pPr>
      <w:r>
        <w:rPr>
          <w:rFonts w:hint="eastAsia" w:eastAsia="仿宋_GB2312"/>
          <w:sz w:val="32"/>
          <w:szCs w:val="32"/>
        </w:rPr>
        <w:t>1.硬笔、毛笔类</w:t>
      </w:r>
    </w:p>
    <w:p w14:paraId="2CC6C134">
      <w:pPr>
        <w:spacing w:line="600" w:lineRule="exact"/>
        <w:ind w:firstLine="640" w:firstLineChars="200"/>
        <w:rPr>
          <w:rFonts w:hint="eastAsia" w:eastAsia="仿宋_GB2312"/>
          <w:sz w:val="32"/>
          <w:szCs w:val="32"/>
        </w:rPr>
      </w:pPr>
      <w:r>
        <w:rPr>
          <w:rFonts w:hint="eastAsia" w:eastAsia="仿宋_GB2312"/>
          <w:sz w:val="32"/>
          <w:szCs w:val="32"/>
        </w:rPr>
        <w:t>书法作品类小学生组、中学生组（含中职学生）和中小学幼儿园教师作品，及书法文创类青少年组（18岁以下）经各市（州）教育主管部门遴选通过后，作品报送表须加盖市（州）教育主管部门公章及所在学校公章，并由参赛者登录报名网站自行报名及邮寄作品实物。</w:t>
      </w:r>
    </w:p>
    <w:p w14:paraId="5654DE4A">
      <w:pPr>
        <w:spacing w:line="600" w:lineRule="exact"/>
        <w:ind w:firstLine="640" w:firstLineChars="200"/>
        <w:rPr>
          <w:rFonts w:hint="eastAsia" w:eastAsia="仿宋_GB2312"/>
          <w:sz w:val="32"/>
          <w:szCs w:val="32"/>
        </w:rPr>
      </w:pPr>
      <w:r>
        <w:rPr>
          <w:rFonts w:hint="eastAsia" w:eastAsia="仿宋_GB2312"/>
          <w:sz w:val="32"/>
          <w:szCs w:val="32"/>
        </w:rPr>
        <w:t>书法作品类大学生组（含高职、研究生、留学生）、高校教师（含在站博士后）作品，及书法文创类成人组（18岁及以上在校学生）由各校遴选通过后，作品报送表须加盖所在学校公章，并由参赛者登录报名网站自行报名及邮寄作品实物。</w:t>
      </w:r>
    </w:p>
    <w:p w14:paraId="70167D22">
      <w:pPr>
        <w:spacing w:line="600" w:lineRule="exact"/>
        <w:ind w:firstLine="640" w:firstLineChars="200"/>
        <w:rPr>
          <w:rFonts w:hint="eastAsia" w:eastAsia="仿宋_GB2312"/>
          <w:sz w:val="32"/>
          <w:szCs w:val="32"/>
        </w:rPr>
      </w:pPr>
      <w:r>
        <w:rPr>
          <w:rFonts w:hint="eastAsia" w:eastAsia="仿宋_GB2312"/>
          <w:sz w:val="32"/>
          <w:szCs w:val="32"/>
        </w:rPr>
        <w:t>行业部门组的书法作品类、书法文创类作品由各行业主管部门或行业部门基层单位遴选通过后，作品报送表须加盖参赛者所在单位公章，并由参赛者登录报名网站自行报名及邮寄作品实物。</w:t>
      </w:r>
    </w:p>
    <w:p w14:paraId="411ACAB6">
      <w:pPr>
        <w:spacing w:line="600" w:lineRule="exact"/>
        <w:ind w:firstLine="640" w:firstLineChars="200"/>
        <w:rPr>
          <w:rFonts w:hint="eastAsia" w:eastAsia="仿宋_GB2312"/>
          <w:sz w:val="32"/>
          <w:szCs w:val="32"/>
        </w:rPr>
      </w:pPr>
      <w:r>
        <w:rPr>
          <w:rFonts w:hint="eastAsia" w:eastAsia="仿宋_GB2312"/>
          <w:sz w:val="32"/>
          <w:szCs w:val="32"/>
        </w:rPr>
        <w:t>军人组作品的书法作品类、书法文创类由参赛者所在单位遴选通过后，作品报送表加盖参赛者所在单位公章，并由参赛者登录报名网站自行报名及邮寄作品实物。</w:t>
      </w:r>
    </w:p>
    <w:p w14:paraId="3B9A9F26">
      <w:pPr>
        <w:spacing w:line="600" w:lineRule="exact"/>
        <w:ind w:firstLine="640" w:firstLineChars="200"/>
        <w:rPr>
          <w:rFonts w:hint="eastAsia" w:eastAsia="仿宋_GB2312"/>
          <w:sz w:val="32"/>
          <w:szCs w:val="32"/>
        </w:rPr>
      </w:pPr>
      <w:r>
        <w:rPr>
          <w:rFonts w:hint="eastAsia" w:eastAsia="仿宋_GB2312"/>
          <w:sz w:val="32"/>
          <w:szCs w:val="32"/>
        </w:rPr>
        <w:t>书法作品类社会人员组、书法文创类成人组（18岁及以上的非在校学生）作品由参赛人员递交到所在地市（州）教育主管部门汇总，由市（州）教育主管部门统一报送，作品报送表须加盖市（州）教育主管部门公章，并由参赛者登录报名网站自行报名及邮寄作品实物。</w:t>
      </w:r>
    </w:p>
    <w:p w14:paraId="76F7CFBC">
      <w:pPr>
        <w:spacing w:line="600" w:lineRule="exact"/>
        <w:ind w:firstLine="640" w:firstLineChars="200"/>
        <w:rPr>
          <w:rFonts w:hint="eastAsia" w:eastAsia="仿宋_GB2312"/>
          <w:sz w:val="32"/>
          <w:szCs w:val="32"/>
        </w:rPr>
      </w:pPr>
      <w:r>
        <w:rPr>
          <w:rFonts w:hint="eastAsia" w:eastAsia="仿宋_GB2312"/>
          <w:sz w:val="32"/>
          <w:szCs w:val="32"/>
        </w:rPr>
        <w:t>2.粉笔类</w:t>
      </w:r>
    </w:p>
    <w:p w14:paraId="6B334A9E">
      <w:pPr>
        <w:spacing w:line="600" w:lineRule="exact"/>
        <w:ind w:firstLine="640" w:firstLineChars="200"/>
        <w:rPr>
          <w:rFonts w:hint="eastAsia" w:eastAsia="仿宋_GB2312"/>
          <w:sz w:val="32"/>
          <w:szCs w:val="32"/>
        </w:rPr>
      </w:pPr>
      <w:r>
        <w:rPr>
          <w:rFonts w:hint="eastAsia" w:eastAsia="仿宋_GB2312"/>
          <w:sz w:val="32"/>
          <w:szCs w:val="32"/>
        </w:rPr>
        <w:t>教师组（含幼儿园、中小学、中职学校在职教师）和中职师范院校学生作品经各市（州）教育主管部门遴选通过后，作品报送表须加盖市（州）教育主管部门公章及所在学校公章，并由参赛者登录报名网站自行报名。</w:t>
      </w:r>
    </w:p>
    <w:p w14:paraId="696C07CB">
      <w:pPr>
        <w:spacing w:line="600" w:lineRule="exact"/>
        <w:ind w:firstLine="640" w:firstLineChars="200"/>
        <w:rPr>
          <w:rFonts w:hint="eastAsia" w:eastAsia="仿宋_GB2312"/>
          <w:sz w:val="32"/>
          <w:szCs w:val="32"/>
        </w:rPr>
      </w:pPr>
      <w:r>
        <w:rPr>
          <w:rFonts w:hint="eastAsia" w:eastAsia="仿宋_GB2312"/>
          <w:sz w:val="32"/>
          <w:szCs w:val="32"/>
        </w:rPr>
        <w:t>师范院校学生（非中职师范院校学生）和大学教师（含高职教师、在站博士后）作品由各校遴选通过后，作品报送表须加盖所在学校公章，并由参赛者登录报名网站自行报名。</w:t>
      </w:r>
    </w:p>
    <w:p w14:paraId="6595DE2F">
      <w:pPr>
        <w:spacing w:line="600" w:lineRule="exact"/>
        <w:ind w:firstLine="640" w:firstLineChars="200"/>
        <w:rPr>
          <w:rFonts w:hint="eastAsia" w:eastAsia="楷体_GB2312"/>
          <w:sz w:val="32"/>
          <w:szCs w:val="32"/>
        </w:rPr>
      </w:pPr>
      <w:r>
        <w:rPr>
          <w:rFonts w:hint="eastAsia" w:eastAsia="楷体_GB2312"/>
          <w:sz w:val="32"/>
          <w:szCs w:val="32"/>
        </w:rPr>
        <w:t>（二）报送方式</w:t>
      </w:r>
    </w:p>
    <w:p w14:paraId="7A4CDB7E">
      <w:pPr>
        <w:spacing w:line="600" w:lineRule="exact"/>
        <w:ind w:firstLine="640" w:firstLineChars="200"/>
        <w:rPr>
          <w:rFonts w:hint="eastAsia" w:eastAsia="仿宋_GB2312"/>
          <w:sz w:val="32"/>
          <w:szCs w:val="32"/>
        </w:rPr>
      </w:pPr>
      <w:r>
        <w:rPr>
          <w:rFonts w:hint="eastAsia" w:eastAsia="仿宋_GB2312"/>
          <w:sz w:val="32"/>
          <w:szCs w:val="32"/>
        </w:rPr>
        <w:t>参赛者需通过登录四川省教育融媒体中心（四川教育电视台）评选中心（网址：https://xyqmt.scjyypt.com/zhjdsxjy），在“四川省2026年中华经典诵写讲演系列活动”专题平台点击“我要报名”，填写报名信息提交后下载《四川省2026年中华经典诵写讲演系列活动单个作品报送表》，打印后加盖公章（报名成功后务必保存活动作品唯一识别编码）。</w:t>
      </w:r>
    </w:p>
    <w:p w14:paraId="3E4C5E43">
      <w:pPr>
        <w:spacing w:line="600" w:lineRule="exact"/>
        <w:ind w:firstLine="640" w:firstLineChars="200"/>
        <w:rPr>
          <w:rFonts w:hint="eastAsia" w:eastAsia="仿宋_GB2312"/>
          <w:sz w:val="32"/>
          <w:szCs w:val="32"/>
        </w:rPr>
      </w:pPr>
      <w:r>
        <w:rPr>
          <w:rFonts w:hint="eastAsia" w:eastAsia="仿宋_GB2312"/>
          <w:sz w:val="32"/>
          <w:szCs w:val="32"/>
        </w:rPr>
        <w:t>在专题平台点击“投稿参赛”，选择“笔墨中国”活动赛项进入书写大赛上传作品专区，上传知识测评截图、加盖公章报送表PDF版、书法作品照片、书写过程视频和所抄录内容的版本图片和出版物版本信息等，使用篆书、草书须另附电子档释文等必</w:t>
      </w:r>
      <w:r>
        <w:rPr>
          <w:rFonts w:hint="eastAsia" w:eastAsia="仿宋_GB2312"/>
          <w:spacing w:val="-6"/>
          <w:sz w:val="32"/>
          <w:szCs w:val="32"/>
        </w:rPr>
        <w:t>要资料，完成作品上传（详情见附件7），并寄送硬笔、毛笔类实物作品（在作品右下角注明作品识别编码）至指定地点（见后）。</w:t>
      </w:r>
    </w:p>
    <w:p w14:paraId="0EDD8186">
      <w:pPr>
        <w:spacing w:line="600" w:lineRule="exact"/>
        <w:ind w:firstLine="640" w:firstLineChars="200"/>
        <w:rPr>
          <w:rFonts w:hint="eastAsia" w:eastAsia="仿宋_GB2312"/>
          <w:sz w:val="32"/>
          <w:szCs w:val="32"/>
        </w:rPr>
      </w:pPr>
      <w:r>
        <w:rPr>
          <w:rFonts w:hint="eastAsia" w:eastAsia="仿宋_GB2312"/>
          <w:sz w:val="32"/>
          <w:szCs w:val="32"/>
        </w:rPr>
        <w:t>所有参赛作品材料一经报送，不予退还。作品所有权归活动组委会，参赛选手享有署名权。填写表格相关信息时，涉及未成年者，应填写监护人电话等相关信息。</w:t>
      </w:r>
    </w:p>
    <w:p w14:paraId="75804725">
      <w:pPr>
        <w:spacing w:line="600" w:lineRule="exact"/>
        <w:ind w:firstLine="640" w:firstLineChars="200"/>
        <w:rPr>
          <w:rFonts w:hint="eastAsia" w:eastAsia="楷体_GB2312"/>
          <w:sz w:val="32"/>
          <w:szCs w:val="32"/>
        </w:rPr>
      </w:pPr>
      <w:r>
        <w:rPr>
          <w:rFonts w:hint="eastAsia" w:eastAsia="楷体_GB2312"/>
          <w:sz w:val="32"/>
          <w:szCs w:val="32"/>
        </w:rPr>
        <w:t>（三）报送时间</w:t>
      </w:r>
    </w:p>
    <w:p w14:paraId="0FB98AD9">
      <w:pPr>
        <w:spacing w:line="600" w:lineRule="exact"/>
        <w:ind w:firstLine="640" w:firstLineChars="200"/>
        <w:rPr>
          <w:rFonts w:hint="eastAsia" w:eastAsia="仿宋_GB2312"/>
          <w:sz w:val="32"/>
          <w:szCs w:val="32"/>
        </w:rPr>
      </w:pPr>
      <w:r>
        <w:rPr>
          <w:rFonts w:hint="eastAsia" w:eastAsia="仿宋_GB2312"/>
          <w:sz w:val="32"/>
          <w:szCs w:val="32"/>
        </w:rPr>
        <w:t>7月15日24:00前截止网上报名、上传作品信息及寄送作品（以邮戳为准），超期即不再参加省级评选。</w:t>
      </w:r>
    </w:p>
    <w:p w14:paraId="65362F58">
      <w:pPr>
        <w:spacing w:line="600" w:lineRule="exact"/>
        <w:ind w:firstLine="640" w:firstLineChars="200"/>
        <w:rPr>
          <w:rFonts w:hint="eastAsia" w:eastAsia="黑体"/>
          <w:sz w:val="32"/>
          <w:szCs w:val="32"/>
        </w:rPr>
      </w:pPr>
      <w:r>
        <w:rPr>
          <w:rFonts w:hint="eastAsia" w:eastAsia="黑体"/>
          <w:sz w:val="32"/>
          <w:szCs w:val="32"/>
        </w:rPr>
        <w:t>四、作品报送名额</w:t>
      </w:r>
    </w:p>
    <w:p w14:paraId="66596E27">
      <w:pPr>
        <w:spacing w:line="600" w:lineRule="exact"/>
        <w:ind w:firstLine="640" w:firstLineChars="200"/>
        <w:rPr>
          <w:rFonts w:hint="eastAsia" w:eastAsia="楷体_GB2312"/>
          <w:sz w:val="32"/>
          <w:szCs w:val="32"/>
        </w:rPr>
      </w:pPr>
      <w:r>
        <w:rPr>
          <w:rFonts w:hint="eastAsia" w:eastAsia="楷体_GB2312"/>
          <w:sz w:val="32"/>
          <w:szCs w:val="32"/>
        </w:rPr>
        <w:t>（一）书法作品类硬笔、毛笔类</w:t>
      </w:r>
    </w:p>
    <w:p w14:paraId="65CF3F26">
      <w:pPr>
        <w:spacing w:line="600" w:lineRule="exact"/>
        <w:ind w:firstLine="640" w:firstLineChars="200"/>
        <w:rPr>
          <w:rFonts w:hint="eastAsia" w:eastAsia="仿宋_GB2312"/>
          <w:sz w:val="32"/>
          <w:szCs w:val="32"/>
        </w:rPr>
      </w:pPr>
      <w:r>
        <w:rPr>
          <w:rFonts w:hint="eastAsia" w:eastAsia="仿宋_GB2312"/>
          <w:sz w:val="32"/>
          <w:szCs w:val="32"/>
        </w:rPr>
        <w:t>1.小学生组、中学生组（含中职学生）：各市（州）每个组别报送硬笔、毛笔类作品数量各不超过40件。</w:t>
      </w:r>
    </w:p>
    <w:p w14:paraId="50CB369C">
      <w:pPr>
        <w:spacing w:line="600" w:lineRule="exact"/>
        <w:ind w:firstLine="640" w:firstLineChars="200"/>
        <w:rPr>
          <w:rFonts w:hint="eastAsia" w:eastAsia="仿宋_GB2312"/>
          <w:sz w:val="32"/>
          <w:szCs w:val="32"/>
        </w:rPr>
      </w:pPr>
      <w:r>
        <w:rPr>
          <w:rFonts w:hint="eastAsia" w:eastAsia="仿宋_GB2312"/>
          <w:sz w:val="32"/>
          <w:szCs w:val="32"/>
        </w:rPr>
        <w:t>2.大学生组（含高职学生、研究生、留学生）：各高校报送硬笔、毛笔类作品数量各不超过30件。</w:t>
      </w:r>
    </w:p>
    <w:p w14:paraId="7E72CBBB">
      <w:pPr>
        <w:spacing w:line="600" w:lineRule="exact"/>
        <w:ind w:firstLine="640" w:firstLineChars="200"/>
        <w:rPr>
          <w:rFonts w:hint="eastAsia" w:eastAsia="仿宋_GB2312"/>
          <w:sz w:val="32"/>
          <w:szCs w:val="32"/>
        </w:rPr>
      </w:pPr>
      <w:r>
        <w:rPr>
          <w:rFonts w:hint="eastAsia" w:eastAsia="仿宋_GB2312"/>
          <w:sz w:val="32"/>
          <w:szCs w:val="32"/>
        </w:rPr>
        <w:t>3.教师组（含幼儿园在职教师、在站博士后）：各市（州）报送硬笔、毛笔类作品数量各不超过30件；各高校报送硬笔、毛笔类作品数量各不超过10件。</w:t>
      </w:r>
    </w:p>
    <w:p w14:paraId="432AF216">
      <w:pPr>
        <w:spacing w:line="600" w:lineRule="exact"/>
        <w:ind w:firstLine="640" w:firstLineChars="200"/>
        <w:rPr>
          <w:rFonts w:hint="eastAsia" w:eastAsia="仿宋_GB2312"/>
          <w:sz w:val="32"/>
          <w:szCs w:val="32"/>
        </w:rPr>
      </w:pPr>
      <w:r>
        <w:rPr>
          <w:rFonts w:hint="eastAsia" w:eastAsia="仿宋_GB2312"/>
          <w:sz w:val="32"/>
          <w:szCs w:val="32"/>
        </w:rPr>
        <w:t>4.行业部门组：以各行业系统内基层单位为参赛单元，各参赛单元每个组别报送硬笔、毛笔类作品数量各不超过5件。</w:t>
      </w:r>
    </w:p>
    <w:p w14:paraId="2D345FD9">
      <w:pPr>
        <w:spacing w:line="600" w:lineRule="exact"/>
        <w:ind w:firstLine="640" w:firstLineChars="200"/>
        <w:rPr>
          <w:rFonts w:hint="eastAsia" w:eastAsia="仿宋_GB2312"/>
          <w:sz w:val="32"/>
          <w:szCs w:val="32"/>
        </w:rPr>
      </w:pPr>
      <w:r>
        <w:rPr>
          <w:rFonts w:hint="eastAsia" w:eastAsia="仿宋_GB2312"/>
          <w:sz w:val="32"/>
          <w:szCs w:val="32"/>
        </w:rPr>
        <w:t>5.军人组：各参赛单位每个组别报送硬笔、毛笔类作品数量各不超过5件。</w:t>
      </w:r>
    </w:p>
    <w:p w14:paraId="0057A960">
      <w:pPr>
        <w:spacing w:line="600" w:lineRule="exact"/>
        <w:ind w:firstLine="640" w:firstLineChars="200"/>
        <w:rPr>
          <w:rFonts w:hint="eastAsia" w:eastAsia="仿宋_GB2312"/>
          <w:sz w:val="32"/>
          <w:szCs w:val="32"/>
        </w:rPr>
      </w:pPr>
      <w:r>
        <w:rPr>
          <w:rFonts w:hint="eastAsia" w:eastAsia="仿宋_GB2312"/>
          <w:sz w:val="32"/>
          <w:szCs w:val="32"/>
        </w:rPr>
        <w:t>6.社会人员组：各市（州）报送硬笔、毛笔类作品数量不超过20件。</w:t>
      </w:r>
    </w:p>
    <w:p w14:paraId="53D8B08B">
      <w:pPr>
        <w:spacing w:line="600" w:lineRule="exact"/>
        <w:ind w:firstLine="640" w:firstLineChars="200"/>
        <w:rPr>
          <w:rFonts w:hint="eastAsia" w:eastAsia="楷体_GB2312"/>
          <w:sz w:val="32"/>
          <w:szCs w:val="32"/>
        </w:rPr>
      </w:pPr>
      <w:r>
        <w:rPr>
          <w:rFonts w:hint="eastAsia" w:eastAsia="楷体_GB2312"/>
          <w:sz w:val="32"/>
          <w:szCs w:val="32"/>
        </w:rPr>
        <w:t>（二）书法作品类粉笔类</w:t>
      </w:r>
    </w:p>
    <w:p w14:paraId="3AF60DD0">
      <w:pPr>
        <w:spacing w:line="600" w:lineRule="exact"/>
        <w:ind w:firstLine="640" w:firstLineChars="200"/>
        <w:rPr>
          <w:rFonts w:hint="eastAsia" w:eastAsia="仿宋_GB2312"/>
          <w:sz w:val="32"/>
          <w:szCs w:val="32"/>
        </w:rPr>
      </w:pPr>
      <w:r>
        <w:rPr>
          <w:rFonts w:hint="eastAsia" w:eastAsia="仿宋_GB2312"/>
          <w:sz w:val="32"/>
          <w:szCs w:val="32"/>
        </w:rPr>
        <w:t>1.教师组（含幼儿园在职教师、在站博士后）：各市（州）报送作品数量不超过40件，各高校报送作品数量不超过20件。</w:t>
      </w:r>
    </w:p>
    <w:p w14:paraId="331595EA">
      <w:pPr>
        <w:spacing w:line="600" w:lineRule="exact"/>
        <w:ind w:firstLine="640" w:firstLineChars="200"/>
        <w:rPr>
          <w:rFonts w:hint="eastAsia" w:eastAsia="仿宋_GB2312"/>
          <w:sz w:val="32"/>
          <w:szCs w:val="32"/>
        </w:rPr>
      </w:pPr>
      <w:r>
        <w:rPr>
          <w:rFonts w:hint="eastAsia" w:eastAsia="仿宋_GB2312"/>
          <w:sz w:val="32"/>
          <w:szCs w:val="32"/>
        </w:rPr>
        <w:t>2.师范院校学生组（含中职师范院校学生）：各市（州）报送作品数量不超过30件，各高校报送作品数量不超过30件。</w:t>
      </w:r>
    </w:p>
    <w:p w14:paraId="0C3FBA8F">
      <w:pPr>
        <w:spacing w:line="600" w:lineRule="exact"/>
        <w:ind w:firstLine="640" w:firstLineChars="200"/>
        <w:rPr>
          <w:rFonts w:hint="eastAsia" w:eastAsia="楷体_GB2312"/>
          <w:sz w:val="32"/>
          <w:szCs w:val="32"/>
        </w:rPr>
      </w:pPr>
      <w:r>
        <w:rPr>
          <w:rFonts w:hint="eastAsia" w:eastAsia="楷体_GB2312"/>
          <w:sz w:val="32"/>
          <w:szCs w:val="32"/>
        </w:rPr>
        <w:t>（三）书法文创类</w:t>
      </w:r>
    </w:p>
    <w:p w14:paraId="2FF130B5">
      <w:pPr>
        <w:spacing w:line="600" w:lineRule="exact"/>
        <w:ind w:firstLine="640" w:firstLineChars="200"/>
        <w:rPr>
          <w:rFonts w:hint="eastAsia" w:eastAsia="仿宋_GB2312"/>
          <w:sz w:val="32"/>
          <w:szCs w:val="32"/>
        </w:rPr>
      </w:pPr>
      <w:r>
        <w:rPr>
          <w:rFonts w:hint="eastAsia" w:eastAsia="仿宋_GB2312"/>
          <w:sz w:val="32"/>
          <w:szCs w:val="32"/>
        </w:rPr>
        <w:t>1.青少年组（18岁以下）：各市（州）报送硬笔、毛笔作品数量各不超过30件。</w:t>
      </w:r>
    </w:p>
    <w:p w14:paraId="66FD3700">
      <w:pPr>
        <w:spacing w:line="600" w:lineRule="exact"/>
        <w:ind w:firstLine="640" w:firstLineChars="200"/>
        <w:rPr>
          <w:rFonts w:hint="eastAsia" w:eastAsia="仿宋_GB2312"/>
          <w:sz w:val="32"/>
          <w:szCs w:val="32"/>
        </w:rPr>
      </w:pPr>
      <w:r>
        <w:rPr>
          <w:rFonts w:hint="eastAsia" w:eastAsia="仿宋_GB2312"/>
          <w:sz w:val="32"/>
          <w:szCs w:val="32"/>
        </w:rPr>
        <w:t>2.成人组（18及以上）：各市（州）报送硬笔、毛笔作品数量各不超过20件；各高校报送硬笔、毛笔作品数量各不超过20件；</w:t>
      </w:r>
    </w:p>
    <w:p w14:paraId="2195B2A0">
      <w:pPr>
        <w:spacing w:line="600" w:lineRule="exact"/>
        <w:ind w:firstLine="640" w:firstLineChars="200"/>
        <w:rPr>
          <w:rFonts w:hint="eastAsia" w:eastAsia="黑体"/>
          <w:sz w:val="32"/>
          <w:szCs w:val="32"/>
        </w:rPr>
      </w:pPr>
      <w:r>
        <w:rPr>
          <w:rFonts w:hint="eastAsia" w:eastAsia="黑体"/>
          <w:sz w:val="32"/>
          <w:szCs w:val="32"/>
        </w:rPr>
        <w:t>五、奖项设置</w:t>
      </w:r>
    </w:p>
    <w:p w14:paraId="758EA604">
      <w:pPr>
        <w:spacing w:line="600" w:lineRule="exact"/>
        <w:ind w:firstLine="640" w:firstLineChars="200"/>
        <w:rPr>
          <w:rFonts w:hint="eastAsia" w:eastAsia="仿宋_GB2312"/>
          <w:sz w:val="32"/>
        </w:rPr>
      </w:pPr>
      <w:r>
        <w:rPr>
          <w:rFonts w:hint="eastAsia" w:eastAsia="仿宋_GB2312"/>
          <w:sz w:val="32"/>
          <w:szCs w:val="32"/>
        </w:rPr>
        <w:t>活动组委会将对所有参赛作品进行复审、终审，各组别按照入围终审的参赛作品总数不超过20%的比例确定拟获奖作品数量。各组别设置一、二、三等奖和优秀奖。按照国赛推荐作品要求，遴选推荐省级获奖优秀作品参加全国大赛。入围全国大赛的硬笔、毛笔类作品由“笔墨中国”执委会统一寄送。入围全国大赛的参赛者须使用在四川赛区报名时登记的唯一手机号码（该号码将由省级活动执委会统一报送至全国大赛官网），凭此号码登录全国大赛官网填写基本信息、上传作品。</w:t>
      </w:r>
    </w:p>
    <w:p w14:paraId="1895C2EE">
      <w:pPr>
        <w:spacing w:line="600" w:lineRule="exact"/>
        <w:ind w:firstLine="640" w:firstLineChars="200"/>
        <w:rPr>
          <w:rFonts w:hint="eastAsia" w:eastAsia="黑体"/>
          <w:sz w:val="32"/>
          <w:szCs w:val="32"/>
        </w:rPr>
      </w:pPr>
      <w:r>
        <w:rPr>
          <w:rFonts w:hint="eastAsia" w:eastAsia="黑体"/>
          <w:sz w:val="32"/>
          <w:szCs w:val="32"/>
        </w:rPr>
        <w:t>六、其他事项</w:t>
      </w:r>
    </w:p>
    <w:p w14:paraId="537912E9">
      <w:pPr>
        <w:pStyle w:val="14"/>
        <w:spacing w:line="600" w:lineRule="exact"/>
        <w:ind w:firstLine="640" w:firstLineChars="200"/>
        <w:rPr>
          <w:rFonts w:hint="eastAsia" w:ascii="Times New Roman" w:hAnsi="Times New Roman" w:cs="Times New Roman"/>
          <w:sz w:val="32"/>
          <w:szCs w:val="32"/>
        </w:rPr>
      </w:pPr>
      <w:r>
        <w:rPr>
          <w:rFonts w:hint="eastAsia" w:ascii="Times New Roman" w:hAnsi="Times New Roman" w:cs="Times New Roman"/>
          <w:sz w:val="32"/>
          <w:szCs w:val="32"/>
        </w:rPr>
        <w:t>关于名单公示、报送国赛具体要求等未尽事宜均通过“川晓语”微信公众号、评选中心网站发布通知。</w:t>
      </w:r>
    </w:p>
    <w:p w14:paraId="7AA6DD05">
      <w:pPr>
        <w:spacing w:line="600" w:lineRule="exact"/>
        <w:ind w:firstLine="640" w:firstLineChars="200"/>
        <w:rPr>
          <w:rFonts w:hint="eastAsia" w:eastAsia="仿宋_GB2312"/>
          <w:sz w:val="32"/>
          <w:szCs w:val="32"/>
        </w:rPr>
      </w:pPr>
      <w:r>
        <w:rPr>
          <w:rFonts w:hint="eastAsia" w:eastAsia="仿宋_GB2312"/>
          <w:sz w:val="32"/>
          <w:szCs w:val="32"/>
        </w:rPr>
        <w:t>1.报名咨询及实物作品邮寄地址：四川省自贡市自流井区汇兴路学苑街180号四川轻化工大学人文学院第四实验楼817室办公室；联系人：张老师，15984191098。</w:t>
      </w:r>
    </w:p>
    <w:p w14:paraId="6D1807BF">
      <w:pPr>
        <w:spacing w:line="600" w:lineRule="exact"/>
        <w:ind w:firstLine="640" w:firstLineChars="200"/>
        <w:rPr>
          <w:rFonts w:hint="eastAsia" w:eastAsia="仿宋_GB2312"/>
          <w:sz w:val="32"/>
          <w:szCs w:val="32"/>
        </w:rPr>
      </w:pPr>
      <w:r>
        <w:rPr>
          <w:rFonts w:hint="eastAsia" w:eastAsia="仿宋_GB2312"/>
          <w:sz w:val="32"/>
          <w:szCs w:val="32"/>
        </w:rPr>
        <w:t>2.报送平台咨询：陈老师，13438343800（工作日10:00-12:00、14:30-16:30）。</w:t>
      </w:r>
    </w:p>
    <w:p w14:paraId="4654299F">
      <w:pPr>
        <w:widowControl/>
        <w:jc w:val="left"/>
        <w:rPr>
          <w:rFonts w:eastAsia="仿宋_GB2312"/>
          <w:sz w:val="32"/>
          <w:szCs w:val="32"/>
        </w:rPr>
      </w:pPr>
      <w:r>
        <w:rPr>
          <w:rFonts w:eastAsia="仿宋_GB2312"/>
          <w:sz w:val="32"/>
          <w:szCs w:val="32"/>
        </w:rPr>
        <w:br w:type="page"/>
      </w:r>
    </w:p>
    <w:p w14:paraId="0346C79D">
      <w:bookmarkStart w:id="1" w:name="_GoBack"/>
      <w:bookmarkEnd w:id="1"/>
    </w:p>
    <w:sectPr>
      <w:footerReference r:id="rId3" w:type="default"/>
      <w:footerReference r:id="rId4" w:type="even"/>
      <w:pgSz w:w="11906" w:h="16838"/>
      <w:pgMar w:top="2098" w:right="1474" w:bottom="1985" w:left="1588" w:header="1701" w:footer="1588" w:gutter="0"/>
      <w:cols w:space="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52DBC">
    <w:pPr>
      <w:pStyle w:val="20"/>
      <w:framePr w:wrap="around" w:vAnchor="text" w:hAnchor="margin" w:xAlign="outside" w:y="1"/>
      <w:ind w:left="210" w:leftChars="100" w:right="210" w:rightChars="100"/>
      <w:rPr>
        <w:rStyle w:val="36"/>
        <w:rFonts w:ascii="宋体" w:hAnsi="宋体"/>
        <w:sz w:val="28"/>
        <w:szCs w:val="28"/>
      </w:rPr>
    </w:pPr>
    <w:r>
      <w:rPr>
        <w:rStyle w:val="36"/>
        <w:rFonts w:hint="eastAsia" w:ascii="宋体" w:hAnsi="宋体"/>
        <w:sz w:val="28"/>
        <w:szCs w:val="28"/>
      </w:rPr>
      <w:t xml:space="preserve">— </w:t>
    </w:r>
    <w:r>
      <w:rPr>
        <w:rStyle w:val="36"/>
        <w:rFonts w:ascii="宋体" w:hAnsi="宋体"/>
        <w:sz w:val="28"/>
        <w:szCs w:val="28"/>
      </w:rPr>
      <w:fldChar w:fldCharType="begin"/>
    </w:r>
    <w:r>
      <w:rPr>
        <w:rStyle w:val="36"/>
        <w:rFonts w:ascii="宋体" w:hAnsi="宋体"/>
        <w:sz w:val="28"/>
        <w:szCs w:val="28"/>
      </w:rPr>
      <w:instrText xml:space="preserve">PAGE  </w:instrText>
    </w:r>
    <w:r>
      <w:rPr>
        <w:rStyle w:val="36"/>
        <w:rFonts w:ascii="宋体" w:hAnsi="宋体"/>
        <w:sz w:val="28"/>
        <w:szCs w:val="28"/>
      </w:rPr>
      <w:fldChar w:fldCharType="separate"/>
    </w:r>
    <w:r>
      <w:rPr>
        <w:rStyle w:val="36"/>
        <w:rFonts w:ascii="宋体" w:hAnsi="宋体"/>
        <w:sz w:val="28"/>
        <w:szCs w:val="28"/>
      </w:rPr>
      <w:t>3</w:t>
    </w:r>
    <w:r>
      <w:rPr>
        <w:rStyle w:val="36"/>
        <w:rFonts w:ascii="宋体" w:hAnsi="宋体"/>
        <w:sz w:val="28"/>
        <w:szCs w:val="28"/>
      </w:rPr>
      <w:fldChar w:fldCharType="end"/>
    </w:r>
    <w:r>
      <w:rPr>
        <w:rStyle w:val="36"/>
        <w:rFonts w:hint="eastAsia" w:ascii="宋体" w:hAnsi="宋体"/>
        <w:sz w:val="28"/>
        <w:szCs w:val="28"/>
      </w:rPr>
      <w:t xml:space="preserve"> —</w:t>
    </w:r>
  </w:p>
  <w:p w14:paraId="6DF90981">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5B68E">
    <w:pPr>
      <w:pStyle w:val="20"/>
      <w:framePr w:wrap="around" w:vAnchor="text" w:hAnchor="margin" w:xAlign="outside" w:y="1"/>
      <w:ind w:left="210" w:leftChars="100" w:right="210" w:rightChars="100"/>
      <w:rPr>
        <w:rStyle w:val="36"/>
        <w:rFonts w:ascii="宋体" w:hAnsi="宋体"/>
        <w:sz w:val="28"/>
        <w:szCs w:val="28"/>
      </w:rPr>
    </w:pPr>
    <w:r>
      <w:rPr>
        <w:rStyle w:val="36"/>
        <w:rFonts w:hint="eastAsia" w:ascii="宋体" w:hAnsi="宋体"/>
        <w:sz w:val="28"/>
        <w:szCs w:val="28"/>
      </w:rPr>
      <w:t xml:space="preserve">— </w:t>
    </w:r>
    <w:r>
      <w:rPr>
        <w:rStyle w:val="36"/>
        <w:rFonts w:ascii="宋体" w:hAnsi="宋体"/>
        <w:sz w:val="28"/>
        <w:szCs w:val="28"/>
      </w:rPr>
      <w:fldChar w:fldCharType="begin"/>
    </w:r>
    <w:r>
      <w:rPr>
        <w:rStyle w:val="36"/>
        <w:rFonts w:ascii="宋体" w:hAnsi="宋体"/>
        <w:sz w:val="28"/>
        <w:szCs w:val="28"/>
      </w:rPr>
      <w:instrText xml:space="preserve">PAGE  </w:instrText>
    </w:r>
    <w:r>
      <w:rPr>
        <w:rStyle w:val="36"/>
        <w:rFonts w:ascii="宋体" w:hAnsi="宋体"/>
        <w:sz w:val="28"/>
        <w:szCs w:val="28"/>
      </w:rPr>
      <w:fldChar w:fldCharType="separate"/>
    </w:r>
    <w:r>
      <w:rPr>
        <w:rStyle w:val="36"/>
        <w:rFonts w:ascii="宋体" w:hAnsi="宋体"/>
        <w:sz w:val="28"/>
        <w:szCs w:val="28"/>
      </w:rPr>
      <w:t>2</w:t>
    </w:r>
    <w:r>
      <w:rPr>
        <w:rStyle w:val="36"/>
        <w:rFonts w:ascii="宋体" w:hAnsi="宋体"/>
        <w:sz w:val="28"/>
        <w:szCs w:val="28"/>
      </w:rPr>
      <w:fldChar w:fldCharType="end"/>
    </w:r>
    <w:r>
      <w:rPr>
        <w:rStyle w:val="36"/>
        <w:rFonts w:hint="eastAsia" w:ascii="宋体" w:hAnsi="宋体"/>
        <w:sz w:val="28"/>
        <w:szCs w:val="28"/>
      </w:rPr>
      <w:t xml:space="preserve"> —</w:t>
    </w:r>
  </w:p>
  <w:p w14:paraId="01ED9A80">
    <w:pPr>
      <w:pStyle w:val="2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readOnly" w:enforcement="0"/>
  <w:defaultTabStop w:val="420"/>
  <w:evenAndOddHeaders w:val="1"/>
  <w:drawingGridHorizontalSpacing w:val="0"/>
  <w:drawingGridVerticalSpacing w:val="315"/>
  <w:displayHorizontalDrawingGridEvery w:val="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7CD"/>
    <w:rsid w:val="000F6E07"/>
    <w:rsid w:val="003617CD"/>
    <w:rsid w:val="00D02520"/>
    <w:rsid w:val="00D3119A"/>
    <w:rsid w:val="00D662F0"/>
    <w:rsid w:val="00F8744B"/>
    <w:rsid w:val="76593DAC"/>
    <w:rsid w:val="7EDEBD52"/>
    <w:rsid w:val="CFEF44A6"/>
    <w:rsid w:val="FFF73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rFonts w:eastAsia="等线"/>
      <w:b/>
      <w:bCs/>
      <w:kern w:val="44"/>
      <w:sz w:val="44"/>
      <w:szCs w:val="44"/>
    </w:rPr>
  </w:style>
  <w:style w:type="paragraph" w:styleId="3">
    <w:name w:val="heading 2"/>
    <w:basedOn w:val="1"/>
    <w:next w:val="1"/>
    <w:link w:val="40"/>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2"/>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3"/>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4"/>
    <w:unhideWhenUsed/>
    <w:qFormat/>
    <w:uiPriority w:val="9"/>
    <w:pPr>
      <w:keepNext/>
      <w:keepLines/>
      <w:spacing w:before="320" w:after="200"/>
      <w:outlineLvl w:val="5"/>
    </w:pPr>
    <w:rPr>
      <w:rFonts w:ascii="Arial" w:hAnsi="Arial" w:eastAsia="Arial" w:cs="Arial"/>
      <w:b/>
      <w:bCs/>
      <w:sz w:val="22"/>
    </w:rPr>
  </w:style>
  <w:style w:type="paragraph" w:styleId="8">
    <w:name w:val="heading 7"/>
    <w:basedOn w:val="1"/>
    <w:next w:val="1"/>
    <w:link w:val="45"/>
    <w:unhideWhenUsed/>
    <w:qFormat/>
    <w:uiPriority w:val="9"/>
    <w:pPr>
      <w:keepNext/>
      <w:keepLines/>
      <w:spacing w:before="320" w:after="200"/>
      <w:outlineLvl w:val="6"/>
    </w:pPr>
    <w:rPr>
      <w:rFonts w:ascii="Arial" w:hAnsi="Arial" w:eastAsia="Arial" w:cs="Arial"/>
      <w:b/>
      <w:bCs/>
      <w:i/>
      <w:iCs/>
      <w:sz w:val="22"/>
    </w:rPr>
  </w:style>
  <w:style w:type="paragraph" w:styleId="9">
    <w:name w:val="heading 8"/>
    <w:basedOn w:val="1"/>
    <w:next w:val="1"/>
    <w:link w:val="46"/>
    <w:unhideWhenUsed/>
    <w:qFormat/>
    <w:uiPriority w:val="9"/>
    <w:pPr>
      <w:keepNext/>
      <w:keepLines/>
      <w:spacing w:before="320" w:after="200"/>
      <w:outlineLvl w:val="7"/>
    </w:pPr>
    <w:rPr>
      <w:rFonts w:ascii="Arial" w:hAnsi="Arial" w:eastAsia="Arial" w:cs="Arial"/>
      <w:i/>
      <w:iCs/>
      <w:sz w:val="22"/>
    </w:rPr>
  </w:style>
  <w:style w:type="paragraph" w:styleId="10">
    <w:name w:val="heading 9"/>
    <w:basedOn w:val="1"/>
    <w:next w:val="1"/>
    <w:link w:val="47"/>
    <w:unhideWhenUsed/>
    <w:qFormat/>
    <w:uiPriority w:val="9"/>
    <w:pPr>
      <w:keepNext/>
      <w:keepLines/>
      <w:spacing w:before="320" w:after="200"/>
      <w:outlineLvl w:val="8"/>
    </w:pPr>
    <w:rPr>
      <w:rFonts w:ascii="Arial" w:hAnsi="Arial" w:eastAsia="Arial" w:cs="Arial"/>
      <w:i/>
      <w:iCs/>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annotation text"/>
    <w:basedOn w:val="1"/>
    <w:unhideWhenUsed/>
    <w:qFormat/>
    <w:uiPriority w:val="99"/>
    <w:pPr>
      <w:jc w:val="left"/>
    </w:pPr>
    <w:rPr>
      <w:rFonts w:eastAsia="等线"/>
      <w:sz w:val="32"/>
      <w:szCs w:val="32"/>
    </w:rPr>
  </w:style>
  <w:style w:type="paragraph" w:styleId="14">
    <w:name w:val="Body Text"/>
    <w:basedOn w:val="1"/>
    <w:semiHidden/>
    <w:qFormat/>
    <w:uiPriority w:val="0"/>
    <w:rPr>
      <w:rFonts w:ascii="仿宋_GB2312" w:hAnsi="仿宋_GB2312" w:eastAsia="仿宋_GB2312" w:cs="仿宋_GB2312"/>
      <w:sz w:val="31"/>
      <w:szCs w:val="31"/>
    </w:rPr>
  </w:style>
  <w:style w:type="paragraph" w:styleId="15">
    <w:name w:val="toc 5"/>
    <w:basedOn w:val="1"/>
    <w:next w:val="1"/>
    <w:unhideWhenUsed/>
    <w:qFormat/>
    <w:uiPriority w:val="39"/>
    <w:pPr>
      <w:spacing w:after="57"/>
      <w:ind w:left="1134"/>
    </w:pPr>
  </w:style>
  <w:style w:type="paragraph" w:styleId="16">
    <w:name w:val="toc 3"/>
    <w:basedOn w:val="1"/>
    <w:next w:val="1"/>
    <w:unhideWhenUsed/>
    <w:qFormat/>
    <w:uiPriority w:val="39"/>
    <w:pPr>
      <w:spacing w:after="57"/>
      <w:ind w:left="567"/>
    </w:pPr>
  </w:style>
  <w:style w:type="paragraph" w:styleId="17">
    <w:name w:val="toc 8"/>
    <w:basedOn w:val="1"/>
    <w:next w:val="1"/>
    <w:unhideWhenUsed/>
    <w:qFormat/>
    <w:uiPriority w:val="39"/>
    <w:pPr>
      <w:spacing w:after="57"/>
      <w:ind w:left="1984"/>
    </w:pPr>
  </w:style>
  <w:style w:type="paragraph" w:styleId="18">
    <w:name w:val="endnote text"/>
    <w:basedOn w:val="1"/>
    <w:link w:val="185"/>
    <w:semiHidden/>
    <w:unhideWhenUsed/>
    <w:qFormat/>
    <w:uiPriority w:val="99"/>
    <w:rPr>
      <w:sz w:val="20"/>
    </w:rPr>
  </w:style>
  <w:style w:type="paragraph" w:styleId="19">
    <w:name w:val="Balloon Text"/>
    <w:basedOn w:val="1"/>
    <w:link w:val="194"/>
    <w:semiHidden/>
    <w:unhideWhenUsed/>
    <w:qFormat/>
    <w:uiPriority w:val="99"/>
    <w:rPr>
      <w:sz w:val="18"/>
      <w:szCs w:val="18"/>
    </w:rPr>
  </w:style>
  <w:style w:type="paragraph" w:styleId="20">
    <w:name w:val="footer"/>
    <w:basedOn w:val="1"/>
    <w:link w:val="193"/>
    <w:unhideWhenUsed/>
    <w:qFormat/>
    <w:uiPriority w:val="99"/>
    <w:pPr>
      <w:tabs>
        <w:tab w:val="center" w:pos="4153"/>
        <w:tab w:val="right" w:pos="8306"/>
      </w:tabs>
      <w:snapToGrid w:val="0"/>
      <w:jc w:val="left"/>
    </w:pPr>
    <w:rPr>
      <w:sz w:val="18"/>
      <w:szCs w:val="18"/>
    </w:rPr>
  </w:style>
  <w:style w:type="paragraph" w:styleId="21">
    <w:name w:val="header"/>
    <w:basedOn w:val="1"/>
    <w:link w:val="56"/>
    <w:unhideWhenUsed/>
    <w:qFormat/>
    <w:uiPriority w:val="99"/>
    <w:pPr>
      <w:tabs>
        <w:tab w:val="center" w:pos="7143"/>
        <w:tab w:val="right" w:pos="14287"/>
      </w:tabs>
    </w:pPr>
  </w:style>
  <w:style w:type="paragraph" w:styleId="22">
    <w:name w:val="toc 1"/>
    <w:basedOn w:val="1"/>
    <w:next w:val="1"/>
    <w:unhideWhenUsed/>
    <w:qFormat/>
    <w:uiPriority w:val="39"/>
    <w:pPr>
      <w:spacing w:after="57"/>
    </w:pPr>
  </w:style>
  <w:style w:type="paragraph" w:styleId="23">
    <w:name w:val="toc 4"/>
    <w:basedOn w:val="1"/>
    <w:next w:val="1"/>
    <w:unhideWhenUsed/>
    <w:qFormat/>
    <w:uiPriority w:val="39"/>
    <w:pPr>
      <w:spacing w:after="57"/>
      <w:ind w:left="850"/>
    </w:pPr>
  </w:style>
  <w:style w:type="paragraph" w:styleId="24">
    <w:name w:val="Subtitle"/>
    <w:basedOn w:val="1"/>
    <w:next w:val="1"/>
    <w:link w:val="51"/>
    <w:qFormat/>
    <w:uiPriority w:val="11"/>
    <w:pPr>
      <w:spacing w:before="200" w:after="200"/>
    </w:pPr>
    <w:rPr>
      <w:sz w:val="24"/>
      <w:szCs w:val="24"/>
    </w:rPr>
  </w:style>
  <w:style w:type="paragraph" w:styleId="25">
    <w:name w:val="footnote text"/>
    <w:basedOn w:val="1"/>
    <w:link w:val="184"/>
    <w:semiHidden/>
    <w:unhideWhenUsed/>
    <w:qFormat/>
    <w:uiPriority w:val="99"/>
    <w:pPr>
      <w:spacing w:after="40"/>
    </w:pPr>
    <w:rPr>
      <w:sz w:val="18"/>
    </w:rPr>
  </w:style>
  <w:style w:type="paragraph" w:styleId="26">
    <w:name w:val="toc 6"/>
    <w:basedOn w:val="1"/>
    <w:next w:val="1"/>
    <w:unhideWhenUsed/>
    <w:qFormat/>
    <w:uiPriority w:val="39"/>
    <w:pPr>
      <w:spacing w:after="57"/>
      <w:ind w:left="1417"/>
    </w:pPr>
  </w:style>
  <w:style w:type="paragraph" w:styleId="27">
    <w:name w:val="table of figures"/>
    <w:basedOn w:val="1"/>
    <w:next w:val="1"/>
    <w:unhideWhenUsed/>
    <w:qFormat/>
    <w:uiPriority w:val="99"/>
  </w:style>
  <w:style w:type="paragraph" w:styleId="28">
    <w:name w:val="toc 2"/>
    <w:basedOn w:val="1"/>
    <w:next w:val="1"/>
    <w:unhideWhenUsed/>
    <w:qFormat/>
    <w:uiPriority w:val="39"/>
    <w:pPr>
      <w:spacing w:after="57"/>
      <w:ind w:left="283"/>
    </w:pPr>
  </w:style>
  <w:style w:type="paragraph" w:styleId="29">
    <w:name w:val="toc 9"/>
    <w:basedOn w:val="1"/>
    <w:next w:val="1"/>
    <w:unhideWhenUsed/>
    <w:qFormat/>
    <w:uiPriority w:val="39"/>
    <w:pPr>
      <w:spacing w:after="57"/>
      <w:ind w:left="2268"/>
    </w:pPr>
  </w:style>
  <w:style w:type="paragraph" w:styleId="30">
    <w:name w:val="Normal (Web)"/>
    <w:basedOn w:val="1"/>
    <w:unhideWhenUsed/>
    <w:qFormat/>
    <w:uiPriority w:val="99"/>
    <w:pPr>
      <w:spacing w:beforeAutospacing="1" w:afterAutospacing="1"/>
      <w:jc w:val="left"/>
    </w:pPr>
    <w:rPr>
      <w:rFonts w:eastAsia="等线"/>
      <w:kern w:val="0"/>
      <w:sz w:val="24"/>
      <w:szCs w:val="32"/>
    </w:rPr>
  </w:style>
  <w:style w:type="paragraph" w:styleId="31">
    <w:name w:val="Title"/>
    <w:basedOn w:val="1"/>
    <w:next w:val="1"/>
    <w:link w:val="50"/>
    <w:qFormat/>
    <w:uiPriority w:val="10"/>
    <w:pPr>
      <w:spacing w:before="300" w:after="200"/>
      <w:contextualSpacing/>
    </w:pPr>
    <w:rPr>
      <w:sz w:val="48"/>
      <w:szCs w:val="48"/>
    </w:rPr>
  </w:style>
  <w:style w:type="table" w:styleId="33">
    <w:name w:val="Table Grid"/>
    <w:basedOn w:val="32"/>
    <w:qFormat/>
    <w:uiPriority w:val="5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endnote reference"/>
    <w:basedOn w:val="34"/>
    <w:semiHidden/>
    <w:unhideWhenUsed/>
    <w:qFormat/>
    <w:uiPriority w:val="99"/>
    <w:rPr>
      <w:vertAlign w:val="superscript"/>
    </w:rPr>
  </w:style>
  <w:style w:type="character" w:styleId="36">
    <w:name w:val="page number"/>
    <w:unhideWhenUsed/>
    <w:qFormat/>
    <w:uiPriority w:val="99"/>
  </w:style>
  <w:style w:type="character" w:styleId="37">
    <w:name w:val="Hyperlink"/>
    <w:basedOn w:val="34"/>
    <w:qFormat/>
    <w:uiPriority w:val="0"/>
    <w:rPr>
      <w:color w:val="0000FF"/>
      <w:u w:val="single"/>
    </w:rPr>
  </w:style>
  <w:style w:type="character" w:styleId="38">
    <w:name w:val="footnote reference"/>
    <w:basedOn w:val="34"/>
    <w:unhideWhenUsed/>
    <w:qFormat/>
    <w:uiPriority w:val="99"/>
    <w:rPr>
      <w:vertAlign w:val="superscript"/>
    </w:rPr>
  </w:style>
  <w:style w:type="character" w:customStyle="1" w:styleId="39">
    <w:name w:val="Heading 1 Char"/>
    <w:basedOn w:val="34"/>
    <w:qFormat/>
    <w:uiPriority w:val="9"/>
    <w:rPr>
      <w:rFonts w:ascii="Arial" w:hAnsi="Arial" w:eastAsia="Arial" w:cs="Arial"/>
      <w:sz w:val="40"/>
      <w:szCs w:val="40"/>
    </w:rPr>
  </w:style>
  <w:style w:type="character" w:customStyle="1" w:styleId="40">
    <w:name w:val="标题 2 Char"/>
    <w:basedOn w:val="34"/>
    <w:link w:val="3"/>
    <w:qFormat/>
    <w:uiPriority w:val="9"/>
    <w:rPr>
      <w:rFonts w:ascii="Arial" w:hAnsi="Arial" w:eastAsia="Arial" w:cs="Arial"/>
      <w:sz w:val="34"/>
    </w:rPr>
  </w:style>
  <w:style w:type="character" w:customStyle="1" w:styleId="41">
    <w:name w:val="标题 3 Char"/>
    <w:basedOn w:val="34"/>
    <w:link w:val="4"/>
    <w:qFormat/>
    <w:uiPriority w:val="9"/>
    <w:rPr>
      <w:rFonts w:ascii="Arial" w:hAnsi="Arial" w:eastAsia="Arial" w:cs="Arial"/>
      <w:sz w:val="30"/>
      <w:szCs w:val="30"/>
    </w:rPr>
  </w:style>
  <w:style w:type="character" w:customStyle="1" w:styleId="42">
    <w:name w:val="标题 4 Char"/>
    <w:basedOn w:val="34"/>
    <w:link w:val="5"/>
    <w:qFormat/>
    <w:uiPriority w:val="9"/>
    <w:rPr>
      <w:rFonts w:ascii="Arial" w:hAnsi="Arial" w:eastAsia="Arial" w:cs="Arial"/>
      <w:b/>
      <w:bCs/>
      <w:sz w:val="26"/>
      <w:szCs w:val="26"/>
    </w:rPr>
  </w:style>
  <w:style w:type="character" w:customStyle="1" w:styleId="43">
    <w:name w:val="标题 5 Char"/>
    <w:basedOn w:val="34"/>
    <w:link w:val="6"/>
    <w:qFormat/>
    <w:uiPriority w:val="9"/>
    <w:rPr>
      <w:rFonts w:ascii="Arial" w:hAnsi="Arial" w:eastAsia="Arial" w:cs="Arial"/>
      <w:b/>
      <w:bCs/>
      <w:sz w:val="24"/>
      <w:szCs w:val="24"/>
    </w:rPr>
  </w:style>
  <w:style w:type="character" w:customStyle="1" w:styleId="44">
    <w:name w:val="标题 6 Char"/>
    <w:basedOn w:val="34"/>
    <w:link w:val="7"/>
    <w:qFormat/>
    <w:uiPriority w:val="9"/>
    <w:rPr>
      <w:rFonts w:ascii="Arial" w:hAnsi="Arial" w:eastAsia="Arial" w:cs="Arial"/>
      <w:b/>
      <w:bCs/>
      <w:sz w:val="22"/>
      <w:szCs w:val="22"/>
    </w:rPr>
  </w:style>
  <w:style w:type="character" w:customStyle="1" w:styleId="45">
    <w:name w:val="标题 7 Char"/>
    <w:basedOn w:val="34"/>
    <w:link w:val="8"/>
    <w:qFormat/>
    <w:uiPriority w:val="9"/>
    <w:rPr>
      <w:rFonts w:ascii="Arial" w:hAnsi="Arial" w:eastAsia="Arial" w:cs="Arial"/>
      <w:b/>
      <w:bCs/>
      <w:i/>
      <w:iCs/>
      <w:sz w:val="22"/>
      <w:szCs w:val="22"/>
    </w:rPr>
  </w:style>
  <w:style w:type="character" w:customStyle="1" w:styleId="46">
    <w:name w:val="标题 8 Char"/>
    <w:basedOn w:val="34"/>
    <w:link w:val="9"/>
    <w:qFormat/>
    <w:uiPriority w:val="9"/>
    <w:rPr>
      <w:rFonts w:ascii="Arial" w:hAnsi="Arial" w:eastAsia="Arial" w:cs="Arial"/>
      <w:i/>
      <w:iCs/>
      <w:sz w:val="22"/>
      <w:szCs w:val="22"/>
    </w:rPr>
  </w:style>
  <w:style w:type="character" w:customStyle="1" w:styleId="47">
    <w:name w:val="标题 9 Char"/>
    <w:basedOn w:val="34"/>
    <w:link w:val="10"/>
    <w:qFormat/>
    <w:uiPriority w:val="9"/>
    <w:rPr>
      <w:rFonts w:ascii="Arial" w:hAnsi="Arial" w:eastAsia="Arial" w:cs="Arial"/>
      <w:i/>
      <w:iCs/>
      <w:sz w:val="21"/>
      <w:szCs w:val="21"/>
    </w:rPr>
  </w:style>
  <w:style w:type="paragraph" w:styleId="48">
    <w:name w:val="List Paragraph"/>
    <w:basedOn w:val="1"/>
    <w:qFormat/>
    <w:uiPriority w:val="34"/>
    <w:pPr>
      <w:ind w:left="720"/>
      <w:contextualSpacing/>
    </w:pPr>
  </w:style>
  <w:style w:type="paragraph" w:styleId="49">
    <w:name w:val="No Spacing"/>
    <w:qFormat/>
    <w:uiPriority w:val="1"/>
    <w:rPr>
      <w:rFonts w:ascii="Times New Roman" w:hAnsi="Times New Roman" w:eastAsia="宋体" w:cs="Times New Roman"/>
      <w:lang w:val="en-US" w:eastAsia="zh-CN" w:bidi="ar-SA"/>
    </w:rPr>
  </w:style>
  <w:style w:type="character" w:customStyle="1" w:styleId="50">
    <w:name w:val="标题 Char"/>
    <w:basedOn w:val="34"/>
    <w:link w:val="31"/>
    <w:qFormat/>
    <w:uiPriority w:val="10"/>
    <w:rPr>
      <w:sz w:val="48"/>
      <w:szCs w:val="48"/>
    </w:rPr>
  </w:style>
  <w:style w:type="character" w:customStyle="1" w:styleId="51">
    <w:name w:val="副标题 Char"/>
    <w:basedOn w:val="34"/>
    <w:link w:val="24"/>
    <w:qFormat/>
    <w:uiPriority w:val="11"/>
    <w:rPr>
      <w:sz w:val="24"/>
      <w:szCs w:val="24"/>
    </w:rPr>
  </w:style>
  <w:style w:type="paragraph" w:styleId="52">
    <w:name w:val="Quote"/>
    <w:basedOn w:val="1"/>
    <w:next w:val="1"/>
    <w:link w:val="53"/>
    <w:qFormat/>
    <w:uiPriority w:val="29"/>
    <w:pPr>
      <w:ind w:left="720" w:right="720"/>
    </w:pPr>
    <w:rPr>
      <w:i/>
    </w:rPr>
  </w:style>
  <w:style w:type="character" w:customStyle="1" w:styleId="53">
    <w:name w:val="引用 Char"/>
    <w:link w:val="52"/>
    <w:qFormat/>
    <w:uiPriority w:val="29"/>
    <w:rPr>
      <w:i/>
    </w:rPr>
  </w:style>
  <w:style w:type="paragraph" w:styleId="54">
    <w:name w:val="Intense Quote"/>
    <w:basedOn w:val="1"/>
    <w:next w:val="1"/>
    <w:link w:val="5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5">
    <w:name w:val="明显引用 Char"/>
    <w:link w:val="54"/>
    <w:qFormat/>
    <w:uiPriority w:val="30"/>
    <w:rPr>
      <w:i/>
    </w:rPr>
  </w:style>
  <w:style w:type="character" w:customStyle="1" w:styleId="56">
    <w:name w:val="页眉 Char"/>
    <w:basedOn w:val="34"/>
    <w:link w:val="21"/>
    <w:qFormat/>
    <w:uiPriority w:val="99"/>
  </w:style>
  <w:style w:type="character" w:customStyle="1" w:styleId="57">
    <w:name w:val="Footer Char"/>
    <w:basedOn w:val="34"/>
    <w:qFormat/>
    <w:uiPriority w:val="99"/>
  </w:style>
  <w:style w:type="character" w:customStyle="1" w:styleId="58">
    <w:name w:val="Caption Char"/>
    <w:qFormat/>
    <w:uiPriority w:val="99"/>
  </w:style>
  <w:style w:type="table" w:customStyle="1" w:styleId="59">
    <w:name w:val="Table Grid Light"/>
    <w:basedOn w:val="3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0">
    <w:name w:val="Plain Table 1"/>
    <w:basedOn w:val="3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1">
    <w:name w:val="Plain Table 2"/>
    <w:basedOn w:val="3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2">
    <w:name w:val="Plain Table 3"/>
    <w:basedOn w:val="32"/>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4"/>
    <w:basedOn w:val="32"/>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Plain Table 5"/>
    <w:basedOn w:val="32"/>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Grid Table 1 Light"/>
    <w:basedOn w:val="3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6">
    <w:name w:val="Grid Table 1 Light - Accent 1"/>
    <w:basedOn w:val="3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7">
    <w:name w:val="Grid Table 1 Light - Accent 2"/>
    <w:basedOn w:val="3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8">
    <w:name w:val="Grid Table 1 Light - Accent 3"/>
    <w:basedOn w:val="3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9">
    <w:name w:val="Grid Table 1 Light - Accent 4"/>
    <w:basedOn w:val="3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0">
    <w:name w:val="Grid Table 1 Light - Accent 5"/>
    <w:basedOn w:val="3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1">
    <w:name w:val="Grid Table 1 Light - Accent 6"/>
    <w:basedOn w:val="3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2">
    <w:name w:val="Grid Table 2"/>
    <w:basedOn w:val="3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3">
    <w:name w:val="Grid Table 2 - Accent 1"/>
    <w:basedOn w:val="3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4">
    <w:name w:val="Grid Table 2 - Accent 2"/>
    <w:basedOn w:val="3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5">
    <w:name w:val="Grid Table 2 - Accent 3"/>
    <w:basedOn w:val="3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6">
    <w:name w:val="Grid Table 2 - Accent 4"/>
    <w:basedOn w:val="3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7">
    <w:name w:val="Grid Table 2 - Accent 5"/>
    <w:basedOn w:val="32"/>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8">
    <w:name w:val="Grid Table 2 - Accent 6"/>
    <w:basedOn w:val="32"/>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9">
    <w:name w:val="Grid Table 3"/>
    <w:basedOn w:val="3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Grid Table 3 - Accent 1"/>
    <w:basedOn w:val="3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1">
    <w:name w:val="Grid Table 3 - Accent 2"/>
    <w:basedOn w:val="3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2">
    <w:name w:val="Grid Table 3 - Accent 3"/>
    <w:basedOn w:val="3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3">
    <w:name w:val="Grid Table 3 - Accent 4"/>
    <w:basedOn w:val="3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4">
    <w:name w:val="Grid Table 3 - Accent 5"/>
    <w:basedOn w:val="32"/>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5">
    <w:name w:val="Grid Table 3 - Accent 6"/>
    <w:basedOn w:val="32"/>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6">
    <w:name w:val="Grid Table 4"/>
    <w:basedOn w:val="3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4 - Accent 1"/>
    <w:basedOn w:val="32"/>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8">
    <w:name w:val="Grid Table 4 - Accent 2"/>
    <w:basedOn w:val="3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9">
    <w:name w:val="Grid Table 4 - Accent 3"/>
    <w:basedOn w:val="32"/>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0">
    <w:name w:val="Grid Table 4 - Accent 4"/>
    <w:basedOn w:val="32"/>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1">
    <w:name w:val="Grid Table 4 - Accent 5"/>
    <w:basedOn w:val="32"/>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2">
    <w:name w:val="Grid Table 4 - Accent 6"/>
    <w:basedOn w:val="32"/>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3">
    <w:name w:val="Grid Table 5 Dark"/>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4">
    <w:name w:val="Grid Table 5 Dark- Accent 1"/>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5">
    <w:name w:val="Grid Table 5 Dark - Accent 2"/>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6">
    <w:name w:val="Grid Table 5 Dark - Accent 3"/>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7">
    <w:name w:val="Grid Table 5 Dark- Accent 4"/>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8">
    <w:name w:val="Grid Table 5 Dark - Accent 5"/>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9">
    <w:name w:val="Grid Table 5 Dark - Accent 6"/>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0">
    <w:name w:val="Grid Table 6 Colorful"/>
    <w:basedOn w:val="3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1">
    <w:name w:val="Grid Table 6 Colorful - Accent 1"/>
    <w:basedOn w:val="32"/>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2">
    <w:name w:val="Grid Table 6 Colorful - Accent 2"/>
    <w:basedOn w:val="3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3">
    <w:name w:val="Grid Table 6 Colorful - Accent 3"/>
    <w:basedOn w:val="32"/>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4">
    <w:name w:val="Grid Table 6 Colorful - Accent 4"/>
    <w:basedOn w:val="3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5">
    <w:name w:val="Grid Table 6 Colorful - Accent 5"/>
    <w:basedOn w:val="32"/>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6">
    <w:name w:val="Grid Table 6 Colorful - Accent 6"/>
    <w:basedOn w:val="32"/>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7">
    <w:name w:val="Grid Table 7 Colorful"/>
    <w:basedOn w:val="3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8">
    <w:name w:val="Grid Table 7 Colorful - Accent 1"/>
    <w:basedOn w:val="32"/>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9">
    <w:name w:val="Grid Table 7 Colorful - Accent 2"/>
    <w:basedOn w:val="3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0">
    <w:name w:val="Grid Table 7 Colorful - Accent 3"/>
    <w:basedOn w:val="32"/>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1">
    <w:name w:val="Grid Table 7 Colorful - Accent 4"/>
    <w:basedOn w:val="32"/>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2">
    <w:name w:val="Grid Table 7 Colorful - Accent 5"/>
    <w:basedOn w:val="32"/>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3">
    <w:name w:val="Grid Table 7 Colorful - Accent 6"/>
    <w:basedOn w:val="32"/>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4">
    <w:name w:val="List Table 1 Light"/>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5">
    <w:name w:val="List Table 1 Light - Accent 1"/>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6">
    <w:name w:val="List Table 1 Light - Accent 2"/>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7">
    <w:name w:val="List Table 1 Light - Accent 3"/>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8">
    <w:name w:val="List Table 1 Light - Accent 4"/>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9">
    <w:name w:val="List Table 1 Light - Accent 5"/>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0">
    <w:name w:val="List Table 1 Light - Accent 6"/>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1">
    <w:name w:val="List Table 2"/>
    <w:basedOn w:val="3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2">
    <w:name w:val="List Table 2 - Accent 1"/>
    <w:basedOn w:val="32"/>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3">
    <w:name w:val="List Table 2 - Accent 2"/>
    <w:basedOn w:val="3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4">
    <w:name w:val="List Table 2 - Accent 3"/>
    <w:basedOn w:val="32"/>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5">
    <w:name w:val="List Table 2 - Accent 4"/>
    <w:basedOn w:val="32"/>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6">
    <w:name w:val="List Table 2 - Accent 5"/>
    <w:basedOn w:val="32"/>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7">
    <w:name w:val="List Table 2 - Accent 6"/>
    <w:basedOn w:val="32"/>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8">
    <w:name w:val="List Table 3"/>
    <w:basedOn w:val="3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9">
    <w:name w:val="List Table 3 - Accent 1"/>
    <w:basedOn w:val="32"/>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0">
    <w:name w:val="List Table 3 - Accent 2"/>
    <w:basedOn w:val="3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1">
    <w:name w:val="List Table 3 - Accent 3"/>
    <w:basedOn w:val="32"/>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2">
    <w:name w:val="List Table 3 - Accent 4"/>
    <w:basedOn w:val="3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3">
    <w:name w:val="List Table 3 - Accent 5"/>
    <w:basedOn w:val="32"/>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4">
    <w:name w:val="List Table 3 - Accent 6"/>
    <w:basedOn w:val="32"/>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5">
    <w:name w:val="List Table 4"/>
    <w:basedOn w:val="3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6">
    <w:name w:val="List Table 4 - Accent 1"/>
    <w:basedOn w:val="32"/>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7">
    <w:name w:val="List Table 4 - Accent 2"/>
    <w:basedOn w:val="3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8">
    <w:name w:val="List Table 4 - Accent 3"/>
    <w:basedOn w:val="32"/>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9">
    <w:name w:val="List Table 4 - Accent 4"/>
    <w:basedOn w:val="32"/>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0">
    <w:name w:val="List Table 4 - Accent 5"/>
    <w:basedOn w:val="32"/>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1">
    <w:name w:val="List Table 4 - Accent 6"/>
    <w:basedOn w:val="32"/>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2">
    <w:name w:val="List Table 5 Dark"/>
    <w:basedOn w:val="3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3">
    <w:name w:val="List Table 5 Dark - Accent 1"/>
    <w:basedOn w:val="32"/>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4">
    <w:name w:val="List Table 5 Dark - Accent 2"/>
    <w:basedOn w:val="3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5">
    <w:name w:val="List Table 5 Dark - Accent 3"/>
    <w:basedOn w:val="32"/>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6">
    <w:name w:val="List Table 5 Dark - Accent 4"/>
    <w:basedOn w:val="32"/>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7">
    <w:name w:val="List Table 5 Dark - Accent 5"/>
    <w:basedOn w:val="32"/>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8">
    <w:name w:val="List Table 5 Dark - Accent 6"/>
    <w:basedOn w:val="32"/>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9">
    <w:name w:val="List Table 6 Colorful"/>
    <w:basedOn w:val="32"/>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0">
    <w:name w:val="List Table 6 Colorful - Accent 1"/>
    <w:basedOn w:val="32"/>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1">
    <w:name w:val="List Table 6 Colorful - Accent 2"/>
    <w:basedOn w:val="32"/>
    <w:qFormat/>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2">
    <w:name w:val="List Table 6 Colorful - Accent 3"/>
    <w:basedOn w:val="32"/>
    <w:qFormat/>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3">
    <w:name w:val="List Table 6 Colorful - Accent 4"/>
    <w:basedOn w:val="32"/>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4">
    <w:name w:val="List Table 6 Colorful - Accent 5"/>
    <w:basedOn w:val="32"/>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5">
    <w:name w:val="List Table 6 Colorful - Accent 6"/>
    <w:basedOn w:val="32"/>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6">
    <w:name w:val="List Table 7 Colorful"/>
    <w:basedOn w:val="32"/>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7">
    <w:name w:val="List Table 7 Colorful - Accent 1"/>
    <w:basedOn w:val="32"/>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8">
    <w:name w:val="List Table 7 Colorful - Accent 2"/>
    <w:basedOn w:val="32"/>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9">
    <w:name w:val="List Table 7 Colorful - Accent 3"/>
    <w:basedOn w:val="32"/>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0">
    <w:name w:val="List Table 7 Colorful - Accent 4"/>
    <w:basedOn w:val="32"/>
    <w:qFormat/>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1">
    <w:name w:val="List Table 7 Colorful - Accent 5"/>
    <w:basedOn w:val="32"/>
    <w:qFormat/>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2">
    <w:name w:val="List Table 7 Colorful - Accent 6"/>
    <w:basedOn w:val="32"/>
    <w:qFormat/>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3">
    <w:name w:val="Lined - Accent"/>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4">
    <w:name w:val="Lined - Accent 1"/>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5">
    <w:name w:val="Lined - Accent 2"/>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6">
    <w:name w:val="Lined - Accent 3"/>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7">
    <w:name w:val="Lined - Accent 4"/>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8">
    <w:name w:val="Lined - Accent 5"/>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9">
    <w:name w:val="Lined - Accent 6"/>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0">
    <w:name w:val="Bordered &amp; Lined - Accent"/>
    <w:basedOn w:val="32"/>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1">
    <w:name w:val="Bordered &amp; Lined - Accent 1"/>
    <w:basedOn w:val="32"/>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2">
    <w:name w:val="Bordered &amp; Lined - Accent 2"/>
    <w:basedOn w:val="3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3">
    <w:name w:val="Bordered &amp; Lined - Accent 3"/>
    <w:basedOn w:val="32"/>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4">
    <w:name w:val="Bordered &amp; Lined - Accent 4"/>
    <w:basedOn w:val="32"/>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5">
    <w:name w:val="Bordered &amp; Lined - Accent 5"/>
    <w:basedOn w:val="32"/>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6">
    <w:name w:val="Bordered &amp; Lined - Accent 6"/>
    <w:basedOn w:val="32"/>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7">
    <w:name w:val="Bordered"/>
    <w:basedOn w:val="3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8">
    <w:name w:val="Bordered - Accent 1"/>
    <w:basedOn w:val="3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9">
    <w:name w:val="Bordered - Accent 2"/>
    <w:basedOn w:val="3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0">
    <w:name w:val="Bordered - Accent 3"/>
    <w:basedOn w:val="3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1">
    <w:name w:val="Bordered - Accent 4"/>
    <w:basedOn w:val="3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2">
    <w:name w:val="Bordered - Accent 5"/>
    <w:basedOn w:val="3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3">
    <w:name w:val="Bordered - Accent 6"/>
    <w:basedOn w:val="3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4">
    <w:name w:val="脚注文本 Char"/>
    <w:link w:val="25"/>
    <w:qFormat/>
    <w:uiPriority w:val="99"/>
    <w:rPr>
      <w:sz w:val="18"/>
    </w:rPr>
  </w:style>
  <w:style w:type="character" w:customStyle="1" w:styleId="185">
    <w:name w:val="尾注文本 Char"/>
    <w:link w:val="18"/>
    <w:qFormat/>
    <w:uiPriority w:val="99"/>
    <w:rPr>
      <w:sz w:val="20"/>
    </w:rPr>
  </w:style>
  <w:style w:type="paragraph" w:customStyle="1" w:styleId="186">
    <w:name w:val="TOC 标题1"/>
    <w:unhideWhenUsed/>
    <w:qFormat/>
    <w:uiPriority w:val="39"/>
    <w:rPr>
      <w:rFonts w:ascii="Times New Roman" w:hAnsi="Times New Roman" w:eastAsia="宋体" w:cs="Times New Roman"/>
      <w:lang w:val="en-US" w:eastAsia="zh-CN" w:bidi="ar-SA"/>
    </w:rPr>
  </w:style>
  <w:style w:type="paragraph" w:customStyle="1" w:styleId="187">
    <w:name w:val="Body Text First Indent 21"/>
    <w:basedOn w:val="188"/>
    <w:qFormat/>
    <w:uiPriority w:val="0"/>
    <w:pPr>
      <w:ind w:firstLine="420" w:firstLineChars="200"/>
    </w:pPr>
    <w:rPr>
      <w:rFonts w:ascii="Calibri" w:hAnsi="Calibri"/>
    </w:rPr>
  </w:style>
  <w:style w:type="paragraph" w:customStyle="1" w:styleId="188">
    <w:name w:val="Body Text Indent1"/>
    <w:basedOn w:val="1"/>
    <w:link w:val="189"/>
    <w:qFormat/>
    <w:uiPriority w:val="0"/>
    <w:pPr>
      <w:ind w:left="420" w:leftChars="200"/>
    </w:pPr>
  </w:style>
  <w:style w:type="character" w:customStyle="1" w:styleId="189">
    <w:name w:val="Body Text Indent1 Char"/>
    <w:link w:val="188"/>
    <w:qFormat/>
    <w:uiPriority w:val="0"/>
  </w:style>
  <w:style w:type="character" w:customStyle="1" w:styleId="190">
    <w:name w:val="bumpedfont15"/>
    <w:qFormat/>
    <w:uiPriority w:val="0"/>
  </w:style>
  <w:style w:type="paragraph" w:customStyle="1" w:styleId="191">
    <w:name w:val="修订1"/>
    <w:unhideWhenUsed/>
    <w:qFormat/>
    <w:uiPriority w:val="99"/>
    <w:rPr>
      <w:rFonts w:ascii="Times New Roman" w:hAnsi="Times New Roman" w:eastAsia="宋体" w:cs="Times New Roman"/>
      <w:kern w:val="2"/>
      <w:sz w:val="21"/>
      <w:szCs w:val="22"/>
      <w:lang w:val="en-US" w:eastAsia="zh-CN" w:bidi="ar-SA"/>
    </w:rPr>
  </w:style>
  <w:style w:type="table" w:customStyle="1" w:styleId="192">
    <w:name w:val="Table Normal"/>
    <w:semiHidden/>
    <w:unhideWhenUsed/>
    <w:qFormat/>
    <w:uiPriority w:val="0"/>
    <w:tblPr>
      <w:tblCellMar>
        <w:top w:w="0" w:type="dxa"/>
        <w:left w:w="0" w:type="dxa"/>
        <w:bottom w:w="0" w:type="dxa"/>
        <w:right w:w="0" w:type="dxa"/>
      </w:tblCellMar>
    </w:tblPr>
  </w:style>
  <w:style w:type="character" w:customStyle="1" w:styleId="193">
    <w:name w:val="页脚 Char"/>
    <w:link w:val="20"/>
    <w:uiPriority w:val="99"/>
    <w:rPr>
      <w:kern w:val="2"/>
      <w:sz w:val="18"/>
      <w:szCs w:val="18"/>
    </w:rPr>
  </w:style>
  <w:style w:type="character" w:customStyle="1" w:styleId="194">
    <w:name w:val="批注框文本 Char"/>
    <w:basedOn w:val="34"/>
    <w:link w:val="19"/>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17962</Words>
  <Characters>19067</Characters>
  <Lines>140</Lines>
  <Paragraphs>39</Paragraphs>
  <TotalTime>31</TotalTime>
  <ScaleCrop>false</ScaleCrop>
  <LinksUpToDate>false</LinksUpToDate>
  <CharactersWithSpaces>19150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2025-05-05T11:44:00Z</dcterms:created>
  <dc:creator>杨几</dc:creator>
  <cp:lastModifiedBy>胡建伟</cp:lastModifiedBy>
  <dcterms:modified xsi:type="dcterms:W3CDTF">2026-06-24T02:21:47Z</dcterms:modified>
  <dc:title>中共四川省委宣传部等四部门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B75186CB395A4CED8E9373DD96C5A60D_13</vt:lpwstr>
  </property>
  <property fmtid="{D5CDD505-2E9C-101B-9397-08002B2CF9AE}" pid="4" name="KSOTemplateDocerSaveRecord">
    <vt:lpwstr>eyJoZGlkIjoiYWU4ODcyZTJlZWFiNjFhYmQzMTcxZWUwODQ0OGI0YmEiLCJ1c2VySWQiOiI1NDIyMzAwMzAifQ==</vt:lpwstr>
  </property>
</Properties>
</file>