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9FD3F0">
      <w:pPr>
        <w:spacing w:line="576" w:lineRule="exact"/>
        <w:jc w:val="right"/>
        <w:rPr>
          <w:rFonts w:hint="default" w:eastAsia="仿宋_GB2312"/>
          <w:color w:val="auto"/>
          <w:lang w:val="en-US" w:eastAsia="zh-CN"/>
        </w:rPr>
      </w:pPr>
      <w:r>
        <w:rPr>
          <w:rFonts w:hint="eastAsia"/>
          <w:color w:val="auto"/>
          <w:lang w:val="en-US" w:eastAsia="zh-CN"/>
        </w:rPr>
        <w:t>川教发〔2026〕17号</w:t>
      </w:r>
    </w:p>
    <w:p w14:paraId="25D8E670">
      <w:pPr>
        <w:spacing w:line="576" w:lineRule="exact"/>
        <w:ind w:firstLine="640" w:firstLineChars="200"/>
        <w:rPr>
          <w:rFonts w:hint="eastAsia"/>
          <w:color w:val="auto"/>
        </w:rPr>
      </w:pPr>
    </w:p>
    <w:p w14:paraId="1E19E1DC">
      <w:pPr>
        <w:pStyle w:val="2"/>
        <w:rPr>
          <w:rFonts w:hint="eastAsia"/>
        </w:rPr>
      </w:pPr>
    </w:p>
    <w:p w14:paraId="186D889C">
      <w:pPr>
        <w:spacing w:line="60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四川省教育厅关于印发</w:t>
      </w:r>
    </w:p>
    <w:p w14:paraId="7EFA88EC">
      <w:pPr>
        <w:spacing w:line="600" w:lineRule="exact"/>
        <w:jc w:val="center"/>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w:t>
      </w:r>
      <w:r>
        <w:rPr>
          <w:rFonts w:hint="eastAsia" w:ascii="方正小标宋简体" w:hAnsi="方正小标宋简体" w:eastAsia="方正小标宋简体" w:cs="方正小标宋简体"/>
          <w:color w:val="auto"/>
          <w:spacing w:val="7"/>
          <w:sz w:val="44"/>
          <w:szCs w:val="44"/>
        </w:rPr>
        <w:t>四川省高等学校学生食堂管理办法</w:t>
      </w:r>
      <w:r>
        <w:rPr>
          <w:rFonts w:hint="eastAsia" w:ascii="方正小标宋简体" w:hAnsi="方正小标宋简体" w:eastAsia="方正小标宋简体" w:cs="方正小标宋简体"/>
          <w:color w:val="auto"/>
          <w:sz w:val="44"/>
          <w:szCs w:val="44"/>
          <w:lang w:val="en-US" w:eastAsia="zh-CN"/>
        </w:rPr>
        <w:t>》的通知</w:t>
      </w:r>
    </w:p>
    <w:p w14:paraId="4003F082">
      <w:pPr>
        <w:spacing w:line="576" w:lineRule="exact"/>
        <w:rPr>
          <w:rFonts w:hint="eastAsia"/>
          <w:color w:val="auto"/>
          <w:lang w:val="en-US" w:eastAsia="zh-CN"/>
        </w:rPr>
      </w:pPr>
    </w:p>
    <w:p w14:paraId="08C34A73">
      <w:pPr>
        <w:pStyle w:val="2"/>
        <w:rPr>
          <w:rFonts w:hint="eastAsia"/>
          <w:lang w:val="en-US" w:eastAsia="zh-CN"/>
        </w:rPr>
      </w:pPr>
    </w:p>
    <w:p w14:paraId="3DDB70F3">
      <w:pPr>
        <w:spacing w:line="576" w:lineRule="exact"/>
        <w:rPr>
          <w:rFonts w:hint="default" w:eastAsia="仿宋_GB2312"/>
          <w:color w:val="auto"/>
          <w:lang w:val="en-US" w:eastAsia="zh-CN"/>
        </w:rPr>
      </w:pPr>
      <w:r>
        <w:rPr>
          <w:rFonts w:hint="eastAsia"/>
          <w:color w:val="auto"/>
          <w:lang w:val="en-US" w:eastAsia="zh-CN"/>
        </w:rPr>
        <w:t>各高等学校：</w:t>
      </w:r>
    </w:p>
    <w:p w14:paraId="3C49C6FF">
      <w:pPr>
        <w:spacing w:line="576" w:lineRule="exact"/>
        <w:ind w:firstLine="640" w:firstLineChars="200"/>
        <w:rPr>
          <w:rFonts w:hint="default"/>
          <w:color w:val="auto"/>
          <w:lang w:val="en-US" w:eastAsia="zh-CN"/>
        </w:rPr>
      </w:pPr>
      <w:r>
        <w:rPr>
          <w:rFonts w:hint="eastAsia"/>
          <w:color w:val="auto"/>
          <w:lang w:val="en-US" w:eastAsia="zh-CN"/>
        </w:rPr>
        <w:t>现将修订后的《四川省高等学校学生食堂管理办法》印发你们，请认真贯彻执行。</w:t>
      </w:r>
    </w:p>
    <w:p w14:paraId="2FA78324">
      <w:pPr>
        <w:spacing w:line="576" w:lineRule="exact"/>
        <w:ind w:firstLine="640" w:firstLineChars="200"/>
        <w:rPr>
          <w:rFonts w:hint="eastAsia"/>
          <w:color w:val="auto"/>
          <w:lang w:val="en-US" w:eastAsia="zh-CN"/>
        </w:rPr>
      </w:pPr>
    </w:p>
    <w:p w14:paraId="46E1741D">
      <w:pPr>
        <w:spacing w:line="576" w:lineRule="exact"/>
        <w:ind w:firstLine="640" w:firstLineChars="200"/>
        <w:rPr>
          <w:rFonts w:hint="eastAsia"/>
          <w:color w:val="auto"/>
          <w:lang w:val="en-US" w:eastAsia="zh-CN"/>
        </w:rPr>
      </w:pPr>
    </w:p>
    <w:p w14:paraId="2F47F0F9">
      <w:pPr>
        <w:spacing w:line="576" w:lineRule="exact"/>
        <w:ind w:left="1929" w:leftChars="522" w:hanging="259" w:hangingChars="81"/>
        <w:jc w:val="center"/>
        <w:rPr>
          <w:rFonts w:hint="eastAsia"/>
          <w:color w:val="auto"/>
          <w:lang w:val="en-US" w:eastAsia="zh-CN"/>
        </w:rPr>
      </w:pPr>
      <w:r>
        <w:rPr>
          <w:rFonts w:hint="eastAsia"/>
          <w:color w:val="auto"/>
          <w:lang w:val="en-US" w:eastAsia="zh-CN"/>
        </w:rPr>
        <w:t xml:space="preserve">                               四川省教育厅</w:t>
      </w:r>
    </w:p>
    <w:p w14:paraId="15CB3156">
      <w:pPr>
        <w:spacing w:line="576" w:lineRule="exact"/>
        <w:ind w:left="1929" w:leftChars="522" w:hanging="259" w:hangingChars="81"/>
        <w:jc w:val="right"/>
        <w:rPr>
          <w:rFonts w:hint="default"/>
          <w:color w:val="auto"/>
          <w:lang w:val="en-US" w:eastAsia="zh-CN"/>
        </w:rPr>
        <w:sectPr>
          <w:footerReference r:id="rId3" w:type="default"/>
          <w:footerReference r:id="rId4" w:type="even"/>
          <w:pgSz w:w="11906" w:h="16838"/>
          <w:pgMar w:top="2098" w:right="1531" w:bottom="1985" w:left="1531" w:header="1701" w:footer="1588" w:gutter="0"/>
          <w:cols w:space="1701" w:num="1"/>
          <w:docGrid w:linePitch="312" w:charSpace="0"/>
        </w:sectPr>
      </w:pPr>
      <w:r>
        <w:rPr>
          <w:rFonts w:hint="eastAsia"/>
          <w:color w:val="auto"/>
          <w:lang w:val="en-US" w:eastAsia="zh-CN"/>
        </w:rPr>
        <w:t>2026年9月18日</w:t>
      </w:r>
      <w:bookmarkStart w:id="0" w:name="_GoBack"/>
      <w:bookmarkEnd w:id="0"/>
    </w:p>
    <w:p w14:paraId="587266B1">
      <w:pPr>
        <w:spacing w:line="600" w:lineRule="exact"/>
        <w:jc w:val="center"/>
        <w:rPr>
          <w:rFonts w:eastAsia="方正小标宋简体"/>
          <w:color w:val="auto"/>
          <w:spacing w:val="7"/>
          <w:sz w:val="44"/>
          <w:szCs w:val="44"/>
        </w:rPr>
      </w:pPr>
      <w:r>
        <w:rPr>
          <w:rFonts w:eastAsia="方正小标宋简体"/>
          <w:color w:val="auto"/>
          <w:spacing w:val="7"/>
          <w:sz w:val="44"/>
          <w:szCs w:val="44"/>
        </w:rPr>
        <w:t>四川省高等学校</w:t>
      </w:r>
      <w:r>
        <w:rPr>
          <w:rFonts w:hint="eastAsia" w:eastAsia="方正小标宋简体"/>
          <w:color w:val="auto"/>
          <w:spacing w:val="7"/>
          <w:sz w:val="44"/>
          <w:szCs w:val="44"/>
        </w:rPr>
        <w:t>学生食堂</w:t>
      </w:r>
      <w:r>
        <w:rPr>
          <w:rFonts w:eastAsia="方正小标宋简体"/>
          <w:color w:val="auto"/>
          <w:spacing w:val="7"/>
          <w:sz w:val="44"/>
          <w:szCs w:val="44"/>
        </w:rPr>
        <w:t>管理办法</w:t>
      </w:r>
    </w:p>
    <w:p w14:paraId="51C42AB6">
      <w:pPr>
        <w:spacing w:line="600" w:lineRule="exact"/>
        <w:rPr>
          <w:rFonts w:hint="eastAsia" w:eastAsia="方正楷体_GB2312"/>
          <w:bCs/>
          <w:color w:val="auto"/>
          <w:sz w:val="36"/>
          <w:szCs w:val="36"/>
        </w:rPr>
      </w:pPr>
    </w:p>
    <w:p w14:paraId="2DB13770">
      <w:pPr>
        <w:spacing w:line="576" w:lineRule="exact"/>
        <w:jc w:val="center"/>
        <w:rPr>
          <w:rFonts w:eastAsia="黑体"/>
          <w:color w:val="auto"/>
          <w:spacing w:val="3"/>
        </w:rPr>
      </w:pPr>
      <w:r>
        <w:rPr>
          <w:rFonts w:eastAsia="黑体"/>
          <w:color w:val="auto"/>
          <w:spacing w:val="14"/>
        </w:rPr>
        <w:t xml:space="preserve">第一章 </w:t>
      </w:r>
      <w:r>
        <w:rPr>
          <w:rFonts w:hint="eastAsia" w:eastAsia="黑体"/>
          <w:color w:val="auto"/>
          <w:spacing w:val="14"/>
        </w:rPr>
        <w:t xml:space="preserve"> </w:t>
      </w:r>
      <w:r>
        <w:rPr>
          <w:rFonts w:eastAsia="黑体"/>
          <w:color w:val="auto"/>
          <w:spacing w:val="3"/>
        </w:rPr>
        <w:t>总则</w:t>
      </w:r>
    </w:p>
    <w:p w14:paraId="353716C2">
      <w:pPr>
        <w:spacing w:line="576" w:lineRule="exact"/>
        <w:ind w:firstLine="656" w:firstLineChars="200"/>
        <w:rPr>
          <w:color w:val="auto"/>
          <w:spacing w:val="4"/>
        </w:rPr>
      </w:pPr>
      <w:r>
        <w:rPr>
          <w:color w:val="auto"/>
          <w:spacing w:val="4"/>
        </w:rPr>
        <w:t>第一条  为规范全省高等学校</w:t>
      </w:r>
      <w:r>
        <w:rPr>
          <w:rFonts w:hint="eastAsia"/>
          <w:color w:val="auto"/>
          <w:spacing w:val="4"/>
        </w:rPr>
        <w:t>学生食堂</w:t>
      </w:r>
      <w:r>
        <w:rPr>
          <w:color w:val="auto"/>
          <w:spacing w:val="4"/>
        </w:rPr>
        <w:t>（以下简称“食堂”）管理，根据《中华人民共和国食品安全法》及其实施条例、《学校食品安全与营养健康管理规定》</w:t>
      </w:r>
      <w:r>
        <w:rPr>
          <w:rFonts w:hint="eastAsia"/>
          <w:color w:val="auto"/>
          <w:spacing w:val="4"/>
        </w:rPr>
        <w:t>《四川省食品安全条例》</w:t>
      </w:r>
      <w:r>
        <w:rPr>
          <w:color w:val="auto"/>
          <w:spacing w:val="4"/>
        </w:rPr>
        <w:t>以及教育部《关于推动高校后勤高质量发展的通知》《高校</w:t>
      </w:r>
      <w:r>
        <w:rPr>
          <w:rFonts w:hint="eastAsia"/>
          <w:color w:val="auto"/>
          <w:spacing w:val="4"/>
        </w:rPr>
        <w:t>学生食堂</w:t>
      </w:r>
      <w:r>
        <w:rPr>
          <w:color w:val="auto"/>
          <w:spacing w:val="4"/>
        </w:rPr>
        <w:t>运营管理工作指引》等文件精神，结合我省实际，制定本办法。</w:t>
      </w:r>
    </w:p>
    <w:p w14:paraId="47B2B71C">
      <w:pPr>
        <w:spacing w:line="576" w:lineRule="exact"/>
        <w:ind w:firstLine="656" w:firstLineChars="200"/>
        <w:rPr>
          <w:color w:val="auto"/>
          <w:spacing w:val="4"/>
        </w:rPr>
      </w:pPr>
      <w:r>
        <w:rPr>
          <w:color w:val="auto"/>
          <w:spacing w:val="4"/>
        </w:rPr>
        <w:t>第二条  食堂管理</w:t>
      </w:r>
      <w:r>
        <w:rPr>
          <w:rFonts w:hint="eastAsia"/>
          <w:color w:val="auto"/>
          <w:spacing w:val="4"/>
        </w:rPr>
        <w:t>应</w:t>
      </w:r>
      <w:r>
        <w:rPr>
          <w:color w:val="auto"/>
          <w:spacing w:val="4"/>
        </w:rPr>
        <w:t>遵循以人为本、安全运营、协同治理、数智赋能和绿色低碳</w:t>
      </w:r>
      <w:r>
        <w:rPr>
          <w:rFonts w:hint="eastAsia"/>
          <w:color w:val="auto"/>
          <w:spacing w:val="4"/>
        </w:rPr>
        <w:t>的</w:t>
      </w:r>
      <w:r>
        <w:rPr>
          <w:color w:val="auto"/>
          <w:spacing w:val="4"/>
        </w:rPr>
        <w:t>原则，突出需求导向和服务导向，坚持高质量发展理念，不断提升食堂服务质量和管理水平，确保师生</w:t>
      </w:r>
      <w:r>
        <w:rPr>
          <w:rFonts w:hint="eastAsia"/>
          <w:color w:val="auto"/>
          <w:spacing w:val="4"/>
        </w:rPr>
        <w:t>身体</w:t>
      </w:r>
      <w:r>
        <w:rPr>
          <w:color w:val="auto"/>
          <w:spacing w:val="4"/>
        </w:rPr>
        <w:t>健康和校园安全稳定。</w:t>
      </w:r>
    </w:p>
    <w:p w14:paraId="28211205">
      <w:pPr>
        <w:spacing w:line="576" w:lineRule="exact"/>
        <w:ind w:firstLine="656" w:firstLineChars="200"/>
        <w:rPr>
          <w:color w:val="auto"/>
          <w:spacing w:val="4"/>
        </w:rPr>
      </w:pPr>
      <w:r>
        <w:rPr>
          <w:color w:val="auto"/>
          <w:spacing w:val="4"/>
        </w:rPr>
        <w:t>第三条  坚持食堂公益性运营，充分保障学生的就餐需求，提供安全卫生、优质平价、营养健康</w:t>
      </w:r>
      <w:r>
        <w:rPr>
          <w:rFonts w:hint="eastAsia"/>
          <w:color w:val="auto"/>
          <w:spacing w:val="4"/>
        </w:rPr>
        <w:t>的伙食以及</w:t>
      </w:r>
      <w:r>
        <w:rPr>
          <w:color w:val="auto"/>
          <w:spacing w:val="4"/>
        </w:rPr>
        <w:t>便捷高效的餐饮服务。</w:t>
      </w:r>
    </w:p>
    <w:p w14:paraId="4BCAB79A">
      <w:pPr>
        <w:spacing w:line="576" w:lineRule="exact"/>
        <w:rPr>
          <w:rFonts w:hint="eastAsia" w:eastAsia="黑体"/>
          <w:color w:val="auto"/>
          <w:spacing w:val="14"/>
        </w:rPr>
      </w:pPr>
    </w:p>
    <w:p w14:paraId="2A760268">
      <w:pPr>
        <w:spacing w:line="576" w:lineRule="exact"/>
        <w:jc w:val="center"/>
        <w:rPr>
          <w:rFonts w:eastAsia="方正仿宋_GB2312"/>
          <w:color w:val="auto"/>
          <w:spacing w:val="4"/>
        </w:rPr>
      </w:pPr>
      <w:r>
        <w:rPr>
          <w:rFonts w:eastAsia="黑体"/>
          <w:color w:val="auto"/>
          <w:spacing w:val="14"/>
        </w:rPr>
        <w:t xml:space="preserve">第二章 </w:t>
      </w:r>
      <w:r>
        <w:rPr>
          <w:rFonts w:hint="eastAsia" w:eastAsia="黑体"/>
          <w:color w:val="auto"/>
          <w:spacing w:val="14"/>
        </w:rPr>
        <w:t xml:space="preserve"> </w:t>
      </w:r>
      <w:r>
        <w:rPr>
          <w:rFonts w:eastAsia="黑体"/>
          <w:color w:val="auto"/>
          <w:spacing w:val="3"/>
        </w:rPr>
        <w:t>管理责任</w:t>
      </w:r>
    </w:p>
    <w:p w14:paraId="1C19635B">
      <w:pPr>
        <w:spacing w:line="576" w:lineRule="exact"/>
        <w:ind w:firstLine="656" w:firstLineChars="200"/>
        <w:rPr>
          <w:color w:val="auto"/>
          <w:spacing w:val="4"/>
        </w:rPr>
      </w:pPr>
      <w:r>
        <w:rPr>
          <w:color w:val="auto"/>
          <w:spacing w:val="4"/>
        </w:rPr>
        <w:t>第</w:t>
      </w:r>
      <w:r>
        <w:rPr>
          <w:rFonts w:hint="eastAsia"/>
          <w:color w:val="auto"/>
          <w:spacing w:val="4"/>
        </w:rPr>
        <w:t>四</w:t>
      </w:r>
      <w:r>
        <w:rPr>
          <w:color w:val="auto"/>
          <w:spacing w:val="4"/>
        </w:rPr>
        <w:t>条  教育行政主管部门及高校行业主管部门要督促指导高校建立健全食堂管理相关制度，加强对食堂</w:t>
      </w:r>
      <w:r>
        <w:rPr>
          <w:rFonts w:hint="eastAsia"/>
          <w:color w:val="auto"/>
          <w:spacing w:val="4"/>
        </w:rPr>
        <w:t>规划</w:t>
      </w:r>
      <w:r>
        <w:rPr>
          <w:color w:val="auto"/>
          <w:spacing w:val="4"/>
        </w:rPr>
        <w:t>建设、运营管理等工作的统筹管理和指导，加强对高校食品安全教育和日常管理，落实“管行业必须管安全”的管理责任。</w:t>
      </w:r>
    </w:p>
    <w:p w14:paraId="78E0F1A9">
      <w:pPr>
        <w:spacing w:line="576" w:lineRule="exact"/>
        <w:ind w:firstLine="656" w:firstLineChars="200"/>
        <w:rPr>
          <w:color w:val="auto"/>
          <w:spacing w:val="4"/>
        </w:rPr>
      </w:pPr>
      <w:r>
        <w:rPr>
          <w:color w:val="auto"/>
          <w:spacing w:val="4"/>
        </w:rPr>
        <w:t>第</w:t>
      </w:r>
      <w:r>
        <w:rPr>
          <w:rFonts w:hint="eastAsia"/>
          <w:color w:val="auto"/>
          <w:spacing w:val="4"/>
        </w:rPr>
        <w:t>五</w:t>
      </w:r>
      <w:r>
        <w:rPr>
          <w:color w:val="auto"/>
          <w:spacing w:val="4"/>
        </w:rPr>
        <w:t>条</w:t>
      </w:r>
      <w:r>
        <w:rPr>
          <w:rFonts w:hint="eastAsia"/>
          <w:color w:val="auto"/>
          <w:spacing w:val="4"/>
        </w:rPr>
        <w:t xml:space="preserve">  </w:t>
      </w:r>
      <w:r>
        <w:rPr>
          <w:color w:val="auto"/>
          <w:spacing w:val="4"/>
        </w:rPr>
        <w:t>高校应建立食堂管理领导小组，</w:t>
      </w:r>
      <w:r>
        <w:rPr>
          <w:rFonts w:hint="eastAsia"/>
          <w:color w:val="auto"/>
          <w:spacing w:val="4"/>
        </w:rPr>
        <w:t>牵头负责食堂全面管理工作。应结合学校事业发展和服务保障能级提升情况，有效配置食堂人、财、物等资源性要素，明确校内运行管理机制，建立健全食堂管理制度，系统规范食堂管理，加强食堂规划建设、运营管理，提升统筹管理效能。</w:t>
      </w:r>
    </w:p>
    <w:p w14:paraId="4C1A9161">
      <w:pPr>
        <w:spacing w:line="576" w:lineRule="exact"/>
        <w:ind w:firstLine="656" w:firstLineChars="200"/>
        <w:rPr>
          <w:color w:val="auto"/>
          <w:spacing w:val="4"/>
        </w:rPr>
      </w:pPr>
      <w:r>
        <w:rPr>
          <w:rFonts w:hint="eastAsia"/>
          <w:color w:val="auto"/>
          <w:spacing w:val="4"/>
        </w:rPr>
        <w:t>第六条  食堂</w:t>
      </w:r>
      <w:r>
        <w:rPr>
          <w:color w:val="auto"/>
          <w:spacing w:val="4"/>
        </w:rPr>
        <w:t>食品安全应贯彻落实好属地管理原则，主动接受当地人民政府对食品安全工作的领导，配合</w:t>
      </w:r>
      <w:r>
        <w:rPr>
          <w:rFonts w:hint="eastAsia"/>
          <w:color w:val="auto"/>
          <w:spacing w:val="4"/>
        </w:rPr>
        <w:t>教育、市场监管、</w:t>
      </w:r>
      <w:r>
        <w:rPr>
          <w:color w:val="auto"/>
          <w:spacing w:val="4"/>
        </w:rPr>
        <w:t>卫生健康、城市管理、公安等有关部门按职责对高校食品安全工作进行监督管理，会同有关部门开展高校食品安全事故调查处理。</w:t>
      </w:r>
    </w:p>
    <w:p w14:paraId="551146D6">
      <w:pPr>
        <w:spacing w:line="576" w:lineRule="exact"/>
        <w:ind w:firstLine="656" w:firstLineChars="200"/>
        <w:rPr>
          <w:color w:val="auto"/>
          <w:spacing w:val="4"/>
        </w:rPr>
      </w:pPr>
      <w:r>
        <w:rPr>
          <w:color w:val="auto"/>
          <w:spacing w:val="4"/>
        </w:rPr>
        <w:t>第</w:t>
      </w:r>
      <w:r>
        <w:rPr>
          <w:rFonts w:hint="eastAsia"/>
          <w:color w:val="auto"/>
          <w:spacing w:val="4"/>
        </w:rPr>
        <w:t>七</w:t>
      </w:r>
      <w:r>
        <w:rPr>
          <w:color w:val="auto"/>
          <w:spacing w:val="4"/>
        </w:rPr>
        <w:t xml:space="preserve">条 </w:t>
      </w:r>
      <w:r>
        <w:rPr>
          <w:rFonts w:hint="eastAsia"/>
          <w:color w:val="auto"/>
          <w:spacing w:val="4"/>
        </w:rPr>
        <w:t xml:space="preserve"> </w:t>
      </w:r>
      <w:r>
        <w:rPr>
          <w:color w:val="auto"/>
          <w:spacing w:val="4"/>
        </w:rPr>
        <w:t>高校应落实食品安全主体责任，实行校长负责制，校长履行第一责任人责任。明确校长、分管副校长（食品安全总监）、食品安全员和食材采购验收、加工制作售卖等人员的岗位职责，建立明责、尽责、追责、问责机制。民办高校的举办者（含实际控制人）应当保障学校食品安全投入并对食品安全负责，落实校长负责制，督促校长履行食品安全管理职责。</w:t>
      </w:r>
    </w:p>
    <w:p w14:paraId="5679939D">
      <w:pPr>
        <w:spacing w:line="576" w:lineRule="exact"/>
        <w:ind w:firstLine="656" w:firstLineChars="200"/>
        <w:rPr>
          <w:rFonts w:hint="eastAsia"/>
          <w:color w:val="auto"/>
          <w:spacing w:val="4"/>
          <w:lang w:eastAsia="zh-CN"/>
        </w:rPr>
      </w:pPr>
      <w:r>
        <w:rPr>
          <w:color w:val="auto"/>
          <w:spacing w:val="4"/>
        </w:rPr>
        <w:t>第</w:t>
      </w:r>
      <w:r>
        <w:rPr>
          <w:rFonts w:hint="eastAsia"/>
          <w:color w:val="auto"/>
          <w:spacing w:val="4"/>
        </w:rPr>
        <w:t>八</w:t>
      </w:r>
      <w:r>
        <w:rPr>
          <w:color w:val="auto"/>
          <w:spacing w:val="4"/>
        </w:rPr>
        <w:t>条</w:t>
      </w:r>
      <w:r>
        <w:rPr>
          <w:rFonts w:hint="eastAsia"/>
          <w:color w:val="auto"/>
          <w:spacing w:val="4"/>
        </w:rPr>
        <w:t xml:space="preserve">  高</w:t>
      </w:r>
      <w:r>
        <w:rPr>
          <w:color w:val="auto"/>
          <w:spacing w:val="4"/>
        </w:rPr>
        <w:t>校后勤行业组织应</w:t>
      </w:r>
      <w:r>
        <w:rPr>
          <w:rFonts w:hint="eastAsia"/>
          <w:color w:val="auto"/>
          <w:spacing w:val="4"/>
          <w:lang w:val="en-US" w:eastAsia="zh-CN"/>
        </w:rPr>
        <w:t>充分发挥咨政辅政和专家智库作用，推动高校食堂管理理论研究、标准制定、评估评价、示范引领和行业自律</w:t>
      </w:r>
      <w:r>
        <w:rPr>
          <w:color w:val="auto"/>
          <w:spacing w:val="4"/>
        </w:rPr>
        <w:t>。</w:t>
      </w:r>
    </w:p>
    <w:p w14:paraId="57A88F27">
      <w:pPr>
        <w:topLinePunct/>
        <w:adjustRightInd w:val="0"/>
        <w:snapToGrid w:val="0"/>
        <w:spacing w:before="232" w:line="576" w:lineRule="exact"/>
        <w:ind w:right="38"/>
        <w:jc w:val="center"/>
        <w:textAlignment w:val="baseline"/>
        <w:rPr>
          <w:color w:val="auto"/>
          <w:spacing w:val="4"/>
        </w:rPr>
      </w:pPr>
      <w:r>
        <w:rPr>
          <w:rFonts w:eastAsia="黑体"/>
          <w:color w:val="auto"/>
        </w:rPr>
        <w:t>第三章  食堂规划布局</w:t>
      </w:r>
    </w:p>
    <w:p w14:paraId="05FBC87A">
      <w:pPr>
        <w:spacing w:line="576" w:lineRule="exact"/>
        <w:ind w:firstLine="656" w:firstLineChars="200"/>
        <w:rPr>
          <w:color w:val="auto"/>
          <w:spacing w:val="4"/>
        </w:rPr>
      </w:pPr>
      <w:r>
        <w:rPr>
          <w:color w:val="auto"/>
          <w:spacing w:val="4"/>
        </w:rPr>
        <w:t>第</w:t>
      </w:r>
      <w:r>
        <w:rPr>
          <w:rFonts w:hint="eastAsia"/>
          <w:color w:val="auto"/>
          <w:spacing w:val="4"/>
        </w:rPr>
        <w:t>九</w:t>
      </w:r>
      <w:r>
        <w:rPr>
          <w:color w:val="auto"/>
          <w:spacing w:val="4"/>
        </w:rPr>
        <w:t>条  高校应将</w:t>
      </w:r>
      <w:r>
        <w:rPr>
          <w:rFonts w:hint="eastAsia"/>
          <w:color w:val="auto"/>
          <w:spacing w:val="4"/>
        </w:rPr>
        <w:t>食堂</w:t>
      </w:r>
      <w:r>
        <w:rPr>
          <w:color w:val="auto"/>
          <w:spacing w:val="4"/>
        </w:rPr>
        <w:t>基础设施建设纳入学校整体建设规划和改造更新计划</w:t>
      </w:r>
      <w:r>
        <w:rPr>
          <w:rFonts w:hint="eastAsia"/>
          <w:color w:val="auto"/>
          <w:spacing w:val="4"/>
        </w:rPr>
        <w:t>。</w:t>
      </w:r>
      <w:r>
        <w:rPr>
          <w:color w:val="auto"/>
          <w:spacing w:val="4"/>
        </w:rPr>
        <w:t>新建、改建和扩建的</w:t>
      </w:r>
      <w:r>
        <w:rPr>
          <w:rFonts w:hint="eastAsia"/>
          <w:color w:val="auto"/>
          <w:spacing w:val="4"/>
        </w:rPr>
        <w:t>食堂</w:t>
      </w:r>
      <w:r>
        <w:rPr>
          <w:color w:val="auto"/>
          <w:spacing w:val="4"/>
        </w:rPr>
        <w:t>，应当严格执行国家建筑设计规范、学校食堂建设标准及餐饮服务食品安全操作规范，符合</w:t>
      </w:r>
      <w:r>
        <w:rPr>
          <w:rFonts w:hint="eastAsia"/>
          <w:color w:val="auto"/>
          <w:spacing w:val="4"/>
        </w:rPr>
        <w:t>市场监管部门</w:t>
      </w:r>
      <w:r>
        <w:rPr>
          <w:color w:val="auto"/>
          <w:spacing w:val="4"/>
        </w:rPr>
        <w:t>关于餐饮服务食品安全监督管理及许可审查要求。食堂设计图纸应当报送属地市场监管部门审核</w:t>
      </w:r>
      <w:r>
        <w:rPr>
          <w:rFonts w:hint="eastAsia"/>
          <w:color w:val="auto"/>
          <w:spacing w:val="4"/>
        </w:rPr>
        <w:t>后实施</w:t>
      </w:r>
      <w:r>
        <w:rPr>
          <w:color w:val="auto"/>
          <w:spacing w:val="4"/>
        </w:rPr>
        <w:t>。</w:t>
      </w:r>
    </w:p>
    <w:p w14:paraId="4CD4ED63">
      <w:pPr>
        <w:spacing w:line="576" w:lineRule="exact"/>
        <w:ind w:firstLine="656" w:firstLineChars="200"/>
        <w:rPr>
          <w:color w:val="auto"/>
          <w:spacing w:val="4"/>
        </w:rPr>
      </w:pPr>
      <w:r>
        <w:rPr>
          <w:color w:val="auto"/>
          <w:spacing w:val="4"/>
        </w:rPr>
        <w:t>第十条  高校应加强校内人员流动线路与集聚分布数据监测分析，结合校园功能分区与交通条件科学选址食堂点位。按照生进熟出的</w:t>
      </w:r>
      <w:r>
        <w:rPr>
          <w:rFonts w:hint="eastAsia"/>
          <w:color w:val="auto"/>
          <w:spacing w:val="4"/>
        </w:rPr>
        <w:t>单一流向以及</w:t>
      </w:r>
      <w:r>
        <w:rPr>
          <w:color w:val="auto"/>
          <w:spacing w:val="4"/>
        </w:rPr>
        <w:t>分区、分隔原则合理布局功能区域</w:t>
      </w:r>
      <w:r>
        <w:rPr>
          <w:rFonts w:hint="eastAsia"/>
          <w:color w:val="auto"/>
          <w:spacing w:val="4"/>
        </w:rPr>
        <w:t>，</w:t>
      </w:r>
      <w:r>
        <w:rPr>
          <w:color w:val="auto"/>
          <w:spacing w:val="4"/>
        </w:rPr>
        <w:t>合理设计多层次食堂空间布局，构建校园多时段、多触点便捷安全的餐饮服务网络。</w:t>
      </w:r>
    </w:p>
    <w:p w14:paraId="36EFD4CB">
      <w:pPr>
        <w:spacing w:line="576" w:lineRule="exact"/>
        <w:ind w:firstLine="656" w:firstLineChars="200"/>
        <w:rPr>
          <w:color w:val="auto"/>
          <w:spacing w:val="4"/>
        </w:rPr>
      </w:pPr>
      <w:r>
        <w:rPr>
          <w:color w:val="auto"/>
          <w:spacing w:val="4"/>
        </w:rPr>
        <w:t>第十</w:t>
      </w:r>
      <w:r>
        <w:rPr>
          <w:rFonts w:hint="eastAsia"/>
          <w:color w:val="auto"/>
          <w:spacing w:val="4"/>
        </w:rPr>
        <w:t>一</w:t>
      </w:r>
      <w:r>
        <w:rPr>
          <w:color w:val="auto"/>
          <w:spacing w:val="4"/>
        </w:rPr>
        <w:t>条  高校应确保食堂建筑面积、就餐座位数与师生规模、</w:t>
      </w:r>
      <w:r>
        <w:rPr>
          <w:rFonts w:hint="eastAsia"/>
          <w:color w:val="auto"/>
          <w:spacing w:val="4"/>
        </w:rPr>
        <w:t>就餐需求</w:t>
      </w:r>
      <w:r>
        <w:rPr>
          <w:color w:val="auto"/>
          <w:spacing w:val="4"/>
        </w:rPr>
        <w:t>适配。统筹兼顾就餐流线与应急疏散需要，合理设置并预留设施设备空间。拓展“餐饮+学习交流生活+育人”复合空间，提升校园综合服务品质、丰富校园育人场景。</w:t>
      </w:r>
    </w:p>
    <w:p w14:paraId="1910AB78">
      <w:pPr>
        <w:spacing w:line="576" w:lineRule="exact"/>
        <w:ind w:firstLine="656" w:firstLineChars="200"/>
        <w:rPr>
          <w:color w:val="auto"/>
          <w:spacing w:val="4"/>
        </w:rPr>
      </w:pPr>
      <w:r>
        <w:rPr>
          <w:color w:val="auto"/>
          <w:spacing w:val="4"/>
        </w:rPr>
        <w:t>第十</w:t>
      </w:r>
      <w:r>
        <w:rPr>
          <w:rFonts w:hint="eastAsia"/>
          <w:color w:val="auto"/>
          <w:spacing w:val="4"/>
        </w:rPr>
        <w:t>二</w:t>
      </w:r>
      <w:r>
        <w:rPr>
          <w:color w:val="auto"/>
          <w:spacing w:val="4"/>
        </w:rPr>
        <w:t>条  高校应加强</w:t>
      </w:r>
      <w:r>
        <w:rPr>
          <w:rFonts w:hint="eastAsia"/>
          <w:color w:val="auto"/>
          <w:spacing w:val="4"/>
        </w:rPr>
        <w:t>食堂</w:t>
      </w:r>
      <w:r>
        <w:rPr>
          <w:color w:val="auto"/>
          <w:spacing w:val="4"/>
        </w:rPr>
        <w:t>设施设备全生命周期管理，以保障食品安全和满足师生需求为导向，科学制定改造更新方案，适配食品安全管理、餐饮业态升级、布局优化调整等需要，推进绿色低碳、节能节水、数字智能应用。</w:t>
      </w:r>
    </w:p>
    <w:p w14:paraId="394E557C">
      <w:pPr>
        <w:spacing w:line="576" w:lineRule="exact"/>
        <w:ind w:firstLine="656" w:firstLineChars="200"/>
        <w:rPr>
          <w:color w:val="auto"/>
          <w:spacing w:val="4"/>
        </w:rPr>
      </w:pPr>
    </w:p>
    <w:p w14:paraId="58F2D57B">
      <w:pPr>
        <w:spacing w:line="576" w:lineRule="exact"/>
        <w:jc w:val="center"/>
        <w:rPr>
          <w:rFonts w:eastAsia="黑体"/>
          <w:color w:val="auto"/>
        </w:rPr>
      </w:pPr>
      <w:r>
        <w:rPr>
          <w:rFonts w:eastAsia="黑体"/>
          <w:color w:val="auto"/>
        </w:rPr>
        <w:t>第四章  运营管理</w:t>
      </w:r>
    </w:p>
    <w:p w14:paraId="6A569ADD">
      <w:pPr>
        <w:spacing w:line="576" w:lineRule="exact"/>
        <w:ind w:firstLine="656" w:firstLineChars="200"/>
        <w:rPr>
          <w:color w:val="auto"/>
          <w:spacing w:val="4"/>
        </w:rPr>
      </w:pPr>
      <w:r>
        <w:rPr>
          <w:color w:val="auto"/>
          <w:spacing w:val="4"/>
        </w:rPr>
        <w:t>第</w:t>
      </w:r>
      <w:r>
        <w:rPr>
          <w:rFonts w:hint="eastAsia"/>
          <w:color w:val="auto"/>
          <w:spacing w:val="4"/>
        </w:rPr>
        <w:t>十三</w:t>
      </w:r>
      <w:r>
        <w:rPr>
          <w:color w:val="auto"/>
          <w:spacing w:val="4"/>
        </w:rPr>
        <w:t xml:space="preserve">条  </w:t>
      </w:r>
      <w:r>
        <w:rPr>
          <w:rFonts w:hint="eastAsia"/>
          <w:color w:val="auto"/>
          <w:spacing w:val="4"/>
        </w:rPr>
        <w:t>食堂</w:t>
      </w:r>
      <w:r>
        <w:rPr>
          <w:color w:val="auto"/>
          <w:spacing w:val="4"/>
        </w:rPr>
        <w:t>应依法取得食品经营许可证，一址一证，不得超期限、超范围经营，不得伪造、涂改、出借食品经营许可证。</w:t>
      </w:r>
      <w:r>
        <w:rPr>
          <w:rFonts w:hint="eastAsia"/>
          <w:color w:val="auto"/>
          <w:spacing w:val="4"/>
        </w:rPr>
        <w:t>食堂</w:t>
      </w:r>
      <w:r>
        <w:rPr>
          <w:color w:val="auto"/>
          <w:spacing w:val="4"/>
        </w:rPr>
        <w:t>经营形式、承包经营企业发生变化的，应当按照规定申请变更食品经营许可。</w:t>
      </w:r>
    </w:p>
    <w:p w14:paraId="25543335">
      <w:pPr>
        <w:spacing w:line="576" w:lineRule="exact"/>
        <w:ind w:firstLine="656" w:firstLineChars="200"/>
        <w:rPr>
          <w:color w:val="auto"/>
          <w:spacing w:val="4"/>
        </w:rPr>
      </w:pPr>
      <w:r>
        <w:rPr>
          <w:color w:val="auto"/>
          <w:spacing w:val="4"/>
        </w:rPr>
        <w:t>第</w:t>
      </w:r>
      <w:r>
        <w:rPr>
          <w:rFonts w:hint="eastAsia"/>
          <w:color w:val="auto"/>
          <w:spacing w:val="4"/>
        </w:rPr>
        <w:t>十四</w:t>
      </w:r>
      <w:r>
        <w:rPr>
          <w:color w:val="auto"/>
          <w:spacing w:val="4"/>
        </w:rPr>
        <w:t xml:space="preserve">条  </w:t>
      </w:r>
      <w:r>
        <w:rPr>
          <w:rFonts w:hint="eastAsia"/>
          <w:color w:val="auto"/>
          <w:spacing w:val="4"/>
        </w:rPr>
        <w:t>食堂</w:t>
      </w:r>
      <w:r>
        <w:rPr>
          <w:color w:val="auto"/>
          <w:spacing w:val="4"/>
        </w:rPr>
        <w:t>应在显著位置公示食品经营许可证、管理人员信息、从业人员健康证明、市场监管部门监督记录和其他依法依规应当公开的信息，接受师生家长的监督。</w:t>
      </w:r>
    </w:p>
    <w:p w14:paraId="23848E66">
      <w:pPr>
        <w:spacing w:line="576" w:lineRule="exact"/>
        <w:ind w:firstLine="656" w:firstLineChars="200"/>
        <w:rPr>
          <w:color w:val="auto"/>
          <w:spacing w:val="4"/>
        </w:rPr>
      </w:pPr>
      <w:r>
        <w:rPr>
          <w:rFonts w:hint="eastAsia"/>
          <w:color w:val="auto"/>
          <w:spacing w:val="4"/>
        </w:rPr>
        <w:t xml:space="preserve">第十五条  </w:t>
      </w:r>
      <w:r>
        <w:rPr>
          <w:color w:val="auto"/>
          <w:spacing w:val="4"/>
        </w:rPr>
        <w:t>高校应加强</w:t>
      </w:r>
      <w:r>
        <w:rPr>
          <w:rFonts w:hint="eastAsia"/>
          <w:color w:val="auto"/>
          <w:spacing w:val="4"/>
        </w:rPr>
        <w:t>食堂</w:t>
      </w:r>
      <w:r>
        <w:rPr>
          <w:color w:val="auto"/>
          <w:spacing w:val="4"/>
        </w:rPr>
        <w:t>从业人员队伍建设，建立健全人员招聘、管理、培训、考核等制度。保障食堂从业人员合法权益，按规定缴纳社会保险，定期组织健康体检，建立合理的薪酬增长机制，稳定从业人员队伍</w:t>
      </w:r>
      <w:r>
        <w:rPr>
          <w:rFonts w:hint="eastAsia"/>
          <w:color w:val="auto"/>
          <w:spacing w:val="4"/>
        </w:rPr>
        <w:t>。定期组织食堂厨师参加职业技能培训，不断提升餐食质量。</w:t>
      </w:r>
      <w:r>
        <w:rPr>
          <w:color w:val="auto"/>
          <w:spacing w:val="4"/>
        </w:rPr>
        <w:t>鼓励高校</w:t>
      </w:r>
      <w:r>
        <w:rPr>
          <w:rFonts w:hint="eastAsia"/>
          <w:color w:val="auto"/>
          <w:spacing w:val="4"/>
        </w:rPr>
        <w:t>食堂</w:t>
      </w:r>
      <w:r>
        <w:rPr>
          <w:color w:val="auto"/>
          <w:spacing w:val="4"/>
        </w:rPr>
        <w:t>配备产品技术、食品安全、营养健康、数智运维等高技能人才。</w:t>
      </w:r>
    </w:p>
    <w:p w14:paraId="12D87C25">
      <w:pPr>
        <w:spacing w:line="576" w:lineRule="exact"/>
        <w:ind w:firstLine="656" w:firstLineChars="200"/>
        <w:rPr>
          <w:color w:val="auto"/>
          <w:spacing w:val="4"/>
        </w:rPr>
      </w:pPr>
      <w:r>
        <w:rPr>
          <w:color w:val="auto"/>
          <w:spacing w:val="4"/>
        </w:rPr>
        <w:t>第十</w:t>
      </w:r>
      <w:r>
        <w:rPr>
          <w:rFonts w:hint="eastAsia"/>
          <w:color w:val="auto"/>
          <w:spacing w:val="4"/>
        </w:rPr>
        <w:t>六</w:t>
      </w:r>
      <w:r>
        <w:rPr>
          <w:color w:val="auto"/>
          <w:spacing w:val="4"/>
        </w:rPr>
        <w:t xml:space="preserve">条  </w:t>
      </w:r>
      <w:r>
        <w:rPr>
          <w:rFonts w:hint="eastAsia"/>
          <w:color w:val="auto"/>
          <w:spacing w:val="4"/>
        </w:rPr>
        <w:t>食堂</w:t>
      </w:r>
      <w:r>
        <w:rPr>
          <w:color w:val="auto"/>
          <w:spacing w:val="4"/>
        </w:rPr>
        <w:t>建筑设施应由学校提供，按照非经营性资产管理。</w:t>
      </w:r>
      <w:r>
        <w:rPr>
          <w:rFonts w:hint="eastAsia"/>
          <w:color w:val="auto"/>
          <w:spacing w:val="4"/>
        </w:rPr>
        <w:t>食堂</w:t>
      </w:r>
      <w:r>
        <w:rPr>
          <w:color w:val="auto"/>
          <w:spacing w:val="4"/>
        </w:rPr>
        <w:t>的大型维修改造、大型餐饮设备配置和更新，空调、电梯、供暖、消防等大型配套服务设施更新与运维由</w:t>
      </w:r>
      <w:r>
        <w:rPr>
          <w:rFonts w:hint="eastAsia"/>
          <w:color w:val="auto"/>
          <w:spacing w:val="4"/>
        </w:rPr>
        <w:t>学</w:t>
      </w:r>
      <w:r>
        <w:rPr>
          <w:color w:val="auto"/>
          <w:spacing w:val="4"/>
        </w:rPr>
        <w:t>校承担。</w:t>
      </w:r>
      <w:r>
        <w:rPr>
          <w:rFonts w:hint="eastAsia"/>
          <w:color w:val="auto"/>
          <w:spacing w:val="4"/>
        </w:rPr>
        <w:t>学校</w:t>
      </w:r>
      <w:r>
        <w:rPr>
          <w:color w:val="auto"/>
          <w:spacing w:val="4"/>
        </w:rPr>
        <w:t>不得</w:t>
      </w:r>
      <w:r>
        <w:rPr>
          <w:rFonts w:hint="eastAsia"/>
          <w:color w:val="auto"/>
          <w:spacing w:val="4"/>
        </w:rPr>
        <w:t>以任</w:t>
      </w:r>
      <w:r>
        <w:rPr>
          <w:color w:val="auto"/>
          <w:spacing w:val="4"/>
        </w:rPr>
        <w:t>何形式从食堂盈利，不得向服务实体收取管理费，督促服务实体按照相关政策规定和合同约定落实公益性政策。</w:t>
      </w:r>
    </w:p>
    <w:p w14:paraId="33B39274">
      <w:pPr>
        <w:spacing w:line="576" w:lineRule="exact"/>
        <w:ind w:firstLine="656" w:firstLineChars="200"/>
        <w:rPr>
          <w:color w:val="auto"/>
          <w:spacing w:val="4"/>
        </w:rPr>
      </w:pPr>
      <w:r>
        <w:rPr>
          <w:color w:val="auto"/>
          <w:spacing w:val="4"/>
        </w:rPr>
        <w:t>第十</w:t>
      </w:r>
      <w:r>
        <w:rPr>
          <w:rFonts w:hint="eastAsia"/>
          <w:color w:val="auto"/>
          <w:spacing w:val="4"/>
        </w:rPr>
        <w:t>七</w:t>
      </w:r>
      <w:r>
        <w:rPr>
          <w:color w:val="auto"/>
          <w:spacing w:val="4"/>
        </w:rPr>
        <w:t xml:space="preserve">条  </w:t>
      </w:r>
      <w:r>
        <w:rPr>
          <w:rFonts w:hint="eastAsia"/>
          <w:color w:val="auto"/>
          <w:spacing w:val="4"/>
        </w:rPr>
        <w:t>食堂</w:t>
      </w:r>
      <w:r>
        <w:rPr>
          <w:color w:val="auto"/>
          <w:spacing w:val="4"/>
        </w:rPr>
        <w:t>应根据学生消费需求，合理设置一定比例</w:t>
      </w:r>
      <w:r>
        <w:rPr>
          <w:rFonts w:hint="eastAsia"/>
          <w:color w:val="auto"/>
          <w:spacing w:val="4"/>
        </w:rPr>
        <w:t>的</w:t>
      </w:r>
      <w:r>
        <w:rPr>
          <w:color w:val="auto"/>
          <w:spacing w:val="4"/>
        </w:rPr>
        <w:t>基本大伙，高、中、低价位菜品要搭配合理、品种多样、营养均衡，满足学生多样化需求。</w:t>
      </w:r>
      <w:r>
        <w:rPr>
          <w:rFonts w:hint="eastAsia"/>
          <w:color w:val="auto"/>
          <w:spacing w:val="4"/>
        </w:rPr>
        <w:t>鼓励基本大伙由学校自办。</w:t>
      </w:r>
    </w:p>
    <w:p w14:paraId="4B3CD402">
      <w:pPr>
        <w:spacing w:line="576" w:lineRule="exact"/>
        <w:ind w:firstLine="656" w:firstLineChars="200"/>
        <w:rPr>
          <w:color w:val="auto"/>
          <w:spacing w:val="4"/>
        </w:rPr>
      </w:pPr>
      <w:r>
        <w:rPr>
          <w:rFonts w:hint="eastAsia"/>
          <w:color w:val="auto"/>
          <w:spacing w:val="4"/>
        </w:rPr>
        <w:t>第十八条  食堂可</w:t>
      </w:r>
      <w:r>
        <w:rPr>
          <w:color w:val="auto"/>
          <w:spacing w:val="4"/>
        </w:rPr>
        <w:t>结合</w:t>
      </w:r>
      <w:r>
        <w:rPr>
          <w:rFonts w:hint="eastAsia"/>
          <w:color w:val="auto"/>
          <w:spacing w:val="4"/>
        </w:rPr>
        <w:t>实际</w:t>
      </w:r>
      <w:r>
        <w:rPr>
          <w:color w:val="auto"/>
          <w:spacing w:val="4"/>
        </w:rPr>
        <w:t>开设</w:t>
      </w:r>
      <w:r>
        <w:rPr>
          <w:rFonts w:hint="eastAsia"/>
          <w:color w:val="auto"/>
          <w:spacing w:val="4"/>
        </w:rPr>
        <w:t>特色档口</w:t>
      </w:r>
      <w:r>
        <w:rPr>
          <w:color w:val="auto"/>
          <w:spacing w:val="4"/>
        </w:rPr>
        <w:t>，满足学生个性化餐饮需求</w:t>
      </w:r>
      <w:r>
        <w:rPr>
          <w:rFonts w:hint="eastAsia"/>
          <w:color w:val="auto"/>
          <w:spacing w:val="4"/>
        </w:rPr>
        <w:t>。自主经营的食堂，特色档口可通过引入专业技术团队提供劳务及技术支持等方式运营；特色档口生产经营者应当具备独立法人资格和从事餐饮服务的相应资质，通过</w:t>
      </w:r>
      <w:r>
        <w:rPr>
          <w:color w:val="auto"/>
          <w:spacing w:val="4"/>
        </w:rPr>
        <w:t>招投标等公开竞争方式</w:t>
      </w:r>
      <w:r>
        <w:rPr>
          <w:rFonts w:hint="eastAsia"/>
          <w:color w:val="auto"/>
          <w:spacing w:val="4"/>
        </w:rPr>
        <w:t>选择确定，并与学校签订经营合同，</w:t>
      </w:r>
      <w:r>
        <w:rPr>
          <w:color w:val="auto"/>
          <w:spacing w:val="4"/>
        </w:rPr>
        <w:t>经营</w:t>
      </w:r>
      <w:r>
        <w:rPr>
          <w:rFonts w:hint="eastAsia"/>
          <w:color w:val="auto"/>
          <w:spacing w:val="4"/>
        </w:rPr>
        <w:t>服务期限单次</w:t>
      </w:r>
      <w:r>
        <w:rPr>
          <w:color w:val="auto"/>
          <w:spacing w:val="4"/>
        </w:rPr>
        <w:t>不得超过5年</w:t>
      </w:r>
      <w:r>
        <w:rPr>
          <w:rFonts w:hint="eastAsia"/>
          <w:color w:val="auto"/>
          <w:spacing w:val="4"/>
        </w:rPr>
        <w:t>；学校应结合实际制定特色档口管理办法，明确准入与退出条件。特色档口生产经营者不得转包、分包特色档口经营权。</w:t>
      </w:r>
    </w:p>
    <w:p w14:paraId="65A6F620">
      <w:pPr>
        <w:spacing w:line="576" w:lineRule="exact"/>
        <w:ind w:firstLine="656" w:firstLineChars="200"/>
        <w:rPr>
          <w:color w:val="auto"/>
          <w:spacing w:val="4"/>
        </w:rPr>
      </w:pPr>
      <w:r>
        <w:rPr>
          <w:color w:val="auto"/>
          <w:spacing w:val="4"/>
        </w:rPr>
        <w:t>第</w:t>
      </w:r>
      <w:r>
        <w:rPr>
          <w:rFonts w:hint="eastAsia"/>
          <w:color w:val="auto"/>
          <w:spacing w:val="4"/>
        </w:rPr>
        <w:t>十九</w:t>
      </w:r>
      <w:r>
        <w:rPr>
          <w:color w:val="auto"/>
          <w:spacing w:val="4"/>
        </w:rPr>
        <w:t>条  高校应结合实际情况，不断优化</w:t>
      </w:r>
      <w:r>
        <w:rPr>
          <w:rFonts w:hint="eastAsia"/>
          <w:color w:val="auto"/>
          <w:spacing w:val="4"/>
        </w:rPr>
        <w:t>食堂供餐</w:t>
      </w:r>
      <w:r>
        <w:rPr>
          <w:color w:val="auto"/>
          <w:spacing w:val="4"/>
        </w:rPr>
        <w:t>时间，满足多时段餐饮需求。鼓励配置快捷取餐等多样化服务，提升服务触达能力与保障效能，</w:t>
      </w:r>
      <w:r>
        <w:rPr>
          <w:rFonts w:hint="eastAsia"/>
          <w:color w:val="auto"/>
          <w:spacing w:val="4"/>
        </w:rPr>
        <w:t>具备</w:t>
      </w:r>
      <w:r>
        <w:rPr>
          <w:color w:val="auto"/>
          <w:spacing w:val="4"/>
        </w:rPr>
        <w:t>条件的学校</w:t>
      </w:r>
      <w:r>
        <w:rPr>
          <w:rFonts w:hint="eastAsia"/>
          <w:color w:val="auto"/>
          <w:spacing w:val="4"/>
        </w:rPr>
        <w:t>在</w:t>
      </w:r>
      <w:r>
        <w:rPr>
          <w:color w:val="auto"/>
          <w:spacing w:val="4"/>
        </w:rPr>
        <w:t>充分调研和论证</w:t>
      </w:r>
      <w:r>
        <w:rPr>
          <w:rFonts w:hint="eastAsia"/>
          <w:color w:val="auto"/>
          <w:spacing w:val="4"/>
        </w:rPr>
        <w:t>基础上</w:t>
      </w:r>
      <w:r>
        <w:rPr>
          <w:color w:val="auto"/>
          <w:spacing w:val="4"/>
        </w:rPr>
        <w:t>可实行档口外卖。</w:t>
      </w:r>
    </w:p>
    <w:p w14:paraId="3FE09ED4">
      <w:pPr>
        <w:spacing w:line="576" w:lineRule="exact"/>
        <w:ind w:firstLine="656" w:firstLineChars="200"/>
        <w:rPr>
          <w:color w:val="auto"/>
          <w:kern w:val="0"/>
        </w:rPr>
      </w:pPr>
      <w:r>
        <w:rPr>
          <w:color w:val="auto"/>
          <w:spacing w:val="4"/>
        </w:rPr>
        <w:t>第</w:t>
      </w:r>
      <w:r>
        <w:rPr>
          <w:rFonts w:hint="eastAsia"/>
          <w:color w:val="auto"/>
          <w:spacing w:val="4"/>
        </w:rPr>
        <w:t>二十</w:t>
      </w:r>
      <w:r>
        <w:rPr>
          <w:color w:val="auto"/>
          <w:spacing w:val="4"/>
        </w:rPr>
        <w:t xml:space="preserve">条  </w:t>
      </w:r>
      <w:r>
        <w:rPr>
          <w:rFonts w:hint="eastAsia"/>
          <w:color w:val="auto"/>
        </w:rPr>
        <w:t>自主经营食堂大宗食材采购，属于政府采购范围的，应当严格按照政府采购法律法规规定的采购方式和采购程序执行，依法应当公开招标的不得擅自变更采购方式</w:t>
      </w:r>
      <w:r>
        <w:rPr>
          <w:rFonts w:hint="eastAsia"/>
          <w:color w:val="auto"/>
          <w:spacing w:val="4"/>
        </w:rPr>
        <w:t>；</w:t>
      </w:r>
      <w:r>
        <w:rPr>
          <w:rFonts w:hint="eastAsia"/>
          <w:color w:val="auto"/>
        </w:rPr>
        <w:t>不属于政府采购范围的，应当通过公开竞争方式择优确定供应商</w:t>
      </w:r>
      <w:r>
        <w:rPr>
          <w:rFonts w:hint="eastAsia"/>
          <w:color w:val="auto"/>
          <w:kern w:val="0"/>
        </w:rPr>
        <w:t>。承包经营食堂食材采购应按照学校有关要求执行，</w:t>
      </w:r>
      <w:r>
        <w:rPr>
          <w:rFonts w:hint="eastAsia"/>
          <w:color w:val="auto"/>
        </w:rPr>
        <w:t>并在承包合同中明确，接受学校的监督管理。</w:t>
      </w:r>
      <w:r>
        <w:rPr>
          <w:color w:val="auto"/>
          <w:spacing w:val="4"/>
        </w:rPr>
        <w:t>鼓励采用农校对接、联合采购等模式</w:t>
      </w:r>
      <w:r>
        <w:rPr>
          <w:rFonts w:hint="eastAsia"/>
          <w:color w:val="auto"/>
          <w:kern w:val="0"/>
        </w:rPr>
        <w:t>采购</w:t>
      </w:r>
      <w:r>
        <w:rPr>
          <w:snapToGrid w:val="0"/>
          <w:color w:val="auto"/>
          <w:kern w:val="0"/>
        </w:rPr>
        <w:t>食材</w:t>
      </w:r>
      <w:r>
        <w:rPr>
          <w:color w:val="auto"/>
          <w:spacing w:val="4"/>
        </w:rPr>
        <w:t>，降低采购成本</w:t>
      </w:r>
      <w:r>
        <w:rPr>
          <w:rFonts w:hint="eastAsia"/>
          <w:color w:val="auto"/>
        </w:rPr>
        <w:t>。</w:t>
      </w:r>
      <w:r>
        <w:rPr>
          <w:rFonts w:hint="eastAsia"/>
          <w:color w:val="auto"/>
          <w:spacing w:val="4"/>
        </w:rPr>
        <w:t>鼓励高校积极</w:t>
      </w:r>
      <w:r>
        <w:rPr>
          <w:color w:val="auto"/>
          <w:spacing w:val="4"/>
        </w:rPr>
        <w:t>推进采购数字化平台建设。</w:t>
      </w:r>
    </w:p>
    <w:p w14:paraId="57758510">
      <w:pPr>
        <w:spacing w:line="576" w:lineRule="exact"/>
        <w:ind w:firstLine="640" w:firstLineChars="200"/>
        <w:rPr>
          <w:color w:val="auto"/>
          <w:spacing w:val="4"/>
        </w:rPr>
      </w:pPr>
      <w:r>
        <w:rPr>
          <w:rFonts w:hint="eastAsia"/>
          <w:color w:val="auto"/>
          <w:kern w:val="0"/>
        </w:rPr>
        <w:t>第二十一条  高校应</w:t>
      </w:r>
      <w:r>
        <w:rPr>
          <w:color w:val="auto"/>
          <w:spacing w:val="4"/>
        </w:rPr>
        <w:t>建立健全食材采购询价机制，通过实地考察、线上线下相结合等方式开展询价，做好记录并留存档案资料。</w:t>
      </w:r>
    </w:p>
    <w:p w14:paraId="3DA5BE90">
      <w:pPr>
        <w:spacing w:line="576" w:lineRule="exact"/>
        <w:ind w:firstLine="656" w:firstLineChars="200"/>
        <w:rPr>
          <w:color w:val="auto"/>
          <w:spacing w:val="4"/>
        </w:rPr>
      </w:pPr>
      <w:r>
        <w:rPr>
          <w:color w:val="auto"/>
          <w:spacing w:val="4"/>
        </w:rPr>
        <w:t>第</w:t>
      </w:r>
      <w:r>
        <w:rPr>
          <w:rFonts w:hint="eastAsia"/>
          <w:color w:val="auto"/>
          <w:spacing w:val="4"/>
        </w:rPr>
        <w:t>二十二</w:t>
      </w:r>
      <w:r>
        <w:rPr>
          <w:color w:val="auto"/>
          <w:spacing w:val="4"/>
        </w:rPr>
        <w:t>条  高校应建立</w:t>
      </w:r>
      <w:r>
        <w:rPr>
          <w:rFonts w:hint="eastAsia"/>
          <w:color w:val="auto"/>
          <w:spacing w:val="4"/>
        </w:rPr>
        <w:t>食材采购</w:t>
      </w:r>
      <w:r>
        <w:rPr>
          <w:color w:val="auto"/>
          <w:spacing w:val="4"/>
        </w:rPr>
        <w:t>“双人或多人联检”查验制度，</w:t>
      </w:r>
      <w:r>
        <w:rPr>
          <w:rFonts w:hint="eastAsia"/>
          <w:snapToGrid w:val="0"/>
          <w:color w:val="auto"/>
          <w:kern w:val="0"/>
        </w:rPr>
        <w:t>构建查验人员“定期轮换”和“随机组合”机制</w:t>
      </w:r>
      <w:r>
        <w:rPr>
          <w:rFonts w:hint="eastAsia"/>
          <w:color w:val="auto"/>
          <w:spacing w:val="4"/>
        </w:rPr>
        <w:t>，</w:t>
      </w:r>
      <w:r>
        <w:rPr>
          <w:color w:val="auto"/>
          <w:spacing w:val="4"/>
        </w:rPr>
        <w:t>详实记录进货查验情况</w:t>
      </w:r>
      <w:r>
        <w:rPr>
          <w:rFonts w:hint="eastAsia"/>
          <w:color w:val="auto"/>
          <w:spacing w:val="4"/>
        </w:rPr>
        <w:t>，</w:t>
      </w:r>
      <w:r>
        <w:rPr>
          <w:color w:val="auto"/>
          <w:spacing w:val="4"/>
        </w:rPr>
        <w:t>留存</w:t>
      </w:r>
      <w:r>
        <w:rPr>
          <w:rFonts w:hint="eastAsia"/>
          <w:color w:val="auto"/>
          <w:spacing w:val="4"/>
        </w:rPr>
        <w:t>查验</w:t>
      </w:r>
      <w:r>
        <w:rPr>
          <w:color w:val="auto"/>
          <w:spacing w:val="4"/>
        </w:rPr>
        <w:t>影像资料。建立不合格食材分类处置制度，留存不合格食材证据，如实记录处置情况。</w:t>
      </w:r>
    </w:p>
    <w:p w14:paraId="2FAD7F3C">
      <w:pPr>
        <w:spacing w:line="576" w:lineRule="exact"/>
        <w:ind w:firstLine="656" w:firstLineChars="200"/>
        <w:rPr>
          <w:color w:val="auto"/>
          <w:spacing w:val="4"/>
        </w:rPr>
      </w:pPr>
      <w:r>
        <w:rPr>
          <w:color w:val="auto"/>
          <w:spacing w:val="4"/>
        </w:rPr>
        <w:t>第</w:t>
      </w:r>
      <w:r>
        <w:rPr>
          <w:rFonts w:hint="eastAsia"/>
          <w:color w:val="auto"/>
          <w:spacing w:val="4"/>
        </w:rPr>
        <w:t>二十三</w:t>
      </w:r>
      <w:r>
        <w:rPr>
          <w:color w:val="auto"/>
          <w:spacing w:val="4"/>
        </w:rPr>
        <w:t>条  高校应建立完善食材供应</w:t>
      </w:r>
      <w:r>
        <w:rPr>
          <w:rFonts w:hint="eastAsia"/>
          <w:color w:val="auto"/>
          <w:spacing w:val="4"/>
        </w:rPr>
        <w:t>商</w:t>
      </w:r>
      <w:r>
        <w:rPr>
          <w:color w:val="auto"/>
          <w:spacing w:val="4"/>
        </w:rPr>
        <w:t>评价和退出机制</w:t>
      </w:r>
      <w:r>
        <w:rPr>
          <w:rFonts w:hint="eastAsia"/>
          <w:color w:val="auto"/>
          <w:spacing w:val="4"/>
        </w:rPr>
        <w:t>，</w:t>
      </w:r>
      <w:r>
        <w:rPr>
          <w:color w:val="auto"/>
          <w:spacing w:val="4"/>
        </w:rPr>
        <w:t>定期对供应商的食品安全状况、履约能力等进行综合评价，及时更换不符合要求的供应商。对</w:t>
      </w:r>
      <w:r>
        <w:rPr>
          <w:rFonts w:hint="eastAsia"/>
          <w:color w:val="auto"/>
        </w:rPr>
        <w:t>因所供应食材直接</w:t>
      </w:r>
      <w:r>
        <w:rPr>
          <w:rFonts w:hint="eastAsia"/>
          <w:color w:val="auto"/>
          <w:spacing w:val="4"/>
        </w:rPr>
        <w:t>造成</w:t>
      </w:r>
      <w:r>
        <w:rPr>
          <w:color w:val="auto"/>
          <w:spacing w:val="4"/>
        </w:rPr>
        <w:t>食品安全事故的供应商，应及时</w:t>
      </w:r>
      <w:r>
        <w:rPr>
          <w:rFonts w:hint="eastAsia"/>
          <w:color w:val="auto"/>
          <w:spacing w:val="4"/>
        </w:rPr>
        <w:t>依法</w:t>
      </w:r>
      <w:r>
        <w:rPr>
          <w:color w:val="auto"/>
          <w:spacing w:val="4"/>
        </w:rPr>
        <w:t>终止合同，并追究</w:t>
      </w:r>
      <w:r>
        <w:rPr>
          <w:rFonts w:hint="eastAsia"/>
          <w:color w:val="auto"/>
        </w:rPr>
        <w:t>供应商造成的损失及法律责任</w:t>
      </w:r>
      <w:r>
        <w:rPr>
          <w:color w:val="auto"/>
          <w:spacing w:val="4"/>
        </w:rPr>
        <w:t>。</w:t>
      </w:r>
    </w:p>
    <w:p w14:paraId="25AC6432">
      <w:pPr>
        <w:spacing w:line="576" w:lineRule="exact"/>
        <w:ind w:firstLine="656" w:firstLineChars="200"/>
        <w:rPr>
          <w:color w:val="auto"/>
          <w:spacing w:val="4"/>
        </w:rPr>
      </w:pPr>
      <w:r>
        <w:rPr>
          <w:color w:val="auto"/>
          <w:spacing w:val="4"/>
        </w:rPr>
        <w:t>第</w:t>
      </w:r>
      <w:r>
        <w:rPr>
          <w:rFonts w:hint="eastAsia"/>
          <w:color w:val="auto"/>
          <w:spacing w:val="4"/>
        </w:rPr>
        <w:t>二十四</w:t>
      </w:r>
      <w:r>
        <w:rPr>
          <w:color w:val="auto"/>
          <w:spacing w:val="4"/>
        </w:rPr>
        <w:t>条  引入社会力量承包经营</w:t>
      </w:r>
      <w:r>
        <w:rPr>
          <w:rFonts w:hint="eastAsia"/>
          <w:color w:val="auto"/>
          <w:spacing w:val="4"/>
        </w:rPr>
        <w:t>食堂</w:t>
      </w:r>
      <w:r>
        <w:rPr>
          <w:color w:val="auto"/>
          <w:spacing w:val="4"/>
        </w:rPr>
        <w:t>的高校，应切实承担管理责任，</w:t>
      </w:r>
      <w:r>
        <w:rPr>
          <w:rFonts w:hint="eastAsia"/>
          <w:color w:val="auto"/>
          <w:spacing w:val="4"/>
        </w:rPr>
        <w:t>通过招投标等</w:t>
      </w:r>
      <w:r>
        <w:rPr>
          <w:color w:val="auto"/>
          <w:spacing w:val="4"/>
        </w:rPr>
        <w:t>公开</w:t>
      </w:r>
      <w:r>
        <w:rPr>
          <w:rFonts w:hint="eastAsia"/>
          <w:color w:val="auto"/>
          <w:spacing w:val="4"/>
        </w:rPr>
        <w:t>竞争方式</w:t>
      </w:r>
      <w:r>
        <w:rPr>
          <w:color w:val="auto"/>
          <w:spacing w:val="4"/>
        </w:rPr>
        <w:t>选择依法取得包含餐饮服务经营项目的食品经营许可、能承担食品安全责任、社会信誉良好的餐饮服务</w:t>
      </w:r>
      <w:r>
        <w:rPr>
          <w:rFonts w:hint="eastAsia"/>
          <w:color w:val="auto"/>
          <w:spacing w:val="4"/>
        </w:rPr>
        <w:t>经营者</w:t>
      </w:r>
      <w:r>
        <w:rPr>
          <w:color w:val="auto"/>
          <w:spacing w:val="4"/>
        </w:rPr>
        <w:t>，</w:t>
      </w:r>
      <w:r>
        <w:rPr>
          <w:rFonts w:hint="eastAsia"/>
          <w:color w:val="auto"/>
          <w:spacing w:val="4"/>
        </w:rPr>
        <w:t>并</w:t>
      </w:r>
      <w:r>
        <w:rPr>
          <w:color w:val="auto"/>
          <w:spacing w:val="4"/>
        </w:rPr>
        <w:t>及时公示中标企业名单</w:t>
      </w:r>
      <w:r>
        <w:rPr>
          <w:rFonts w:hint="eastAsia"/>
          <w:color w:val="auto"/>
          <w:spacing w:val="4"/>
        </w:rPr>
        <w:t>；要</w:t>
      </w:r>
      <w:r>
        <w:rPr>
          <w:color w:val="auto"/>
          <w:spacing w:val="4"/>
        </w:rPr>
        <w:t>建立科学规范的经营准入、监管和退出机制，严禁转包、分包、买卖经营权</w:t>
      </w:r>
      <w:r>
        <w:rPr>
          <w:rFonts w:hint="eastAsia"/>
          <w:color w:val="auto"/>
          <w:spacing w:val="4"/>
        </w:rPr>
        <w:t>等</w:t>
      </w:r>
      <w:r>
        <w:rPr>
          <w:color w:val="auto"/>
          <w:spacing w:val="4"/>
        </w:rPr>
        <w:t>行为。</w:t>
      </w:r>
    </w:p>
    <w:p w14:paraId="69FC517F">
      <w:pPr>
        <w:spacing w:line="576" w:lineRule="exact"/>
        <w:ind w:firstLine="656" w:firstLineChars="200"/>
        <w:rPr>
          <w:color w:val="auto"/>
          <w:spacing w:val="4"/>
        </w:rPr>
      </w:pPr>
      <w:r>
        <w:rPr>
          <w:color w:val="auto"/>
          <w:spacing w:val="4"/>
        </w:rPr>
        <w:t>第二十</w:t>
      </w:r>
      <w:r>
        <w:rPr>
          <w:rFonts w:hint="eastAsia"/>
          <w:color w:val="auto"/>
          <w:spacing w:val="4"/>
        </w:rPr>
        <w:t>五</w:t>
      </w:r>
      <w:r>
        <w:rPr>
          <w:color w:val="auto"/>
          <w:spacing w:val="4"/>
        </w:rPr>
        <w:t>条  高校应与承包经营方依法签订合同，合理设置合同期限，明确双方在食堂管理服务、稳控饭菜质量和价格以及食品安全等方面的权利和义务，督促其落实食品安全与营养健康管理责任</w:t>
      </w:r>
      <w:r>
        <w:rPr>
          <w:rFonts w:hint="eastAsia"/>
          <w:color w:val="auto"/>
          <w:spacing w:val="4"/>
        </w:rPr>
        <w:t>，并将不得对所承包经营的食堂进行转包、分包等内容列入合同</w:t>
      </w:r>
      <w:r>
        <w:rPr>
          <w:color w:val="auto"/>
          <w:spacing w:val="4"/>
        </w:rPr>
        <w:t>。食堂承包经营</w:t>
      </w:r>
      <w:r>
        <w:rPr>
          <w:rFonts w:hint="eastAsia"/>
          <w:color w:val="auto"/>
          <w:spacing w:val="4"/>
        </w:rPr>
        <w:t>服务期限单次</w:t>
      </w:r>
      <w:r>
        <w:rPr>
          <w:color w:val="auto"/>
          <w:spacing w:val="4"/>
        </w:rPr>
        <w:t>不得超过5年。</w:t>
      </w:r>
    </w:p>
    <w:p w14:paraId="2CD674A3">
      <w:pPr>
        <w:spacing w:line="576" w:lineRule="exact"/>
        <w:ind w:firstLine="656" w:firstLineChars="200"/>
        <w:rPr>
          <w:color w:val="auto"/>
          <w:spacing w:val="4"/>
        </w:rPr>
      </w:pPr>
      <w:r>
        <w:rPr>
          <w:color w:val="auto"/>
          <w:spacing w:val="4"/>
        </w:rPr>
        <w:t>第二十</w:t>
      </w:r>
      <w:r>
        <w:rPr>
          <w:rFonts w:hint="eastAsia"/>
          <w:color w:val="auto"/>
          <w:spacing w:val="4"/>
        </w:rPr>
        <w:t>六</w:t>
      </w:r>
      <w:r>
        <w:rPr>
          <w:color w:val="auto"/>
          <w:spacing w:val="4"/>
        </w:rPr>
        <w:t>条  高校在食品和服务招标采购活动中，不得向列入严重违法失信名单的食品生产经营者采购食品、服务或发包食堂经营或委托其生产。食品生产经营者在合同存续期间被列入严重违法失信名单</w:t>
      </w:r>
      <w:r>
        <w:rPr>
          <w:rFonts w:hint="eastAsia"/>
          <w:color w:val="auto"/>
          <w:spacing w:val="4"/>
        </w:rPr>
        <w:t>的</w:t>
      </w:r>
      <w:r>
        <w:rPr>
          <w:color w:val="auto"/>
          <w:spacing w:val="4"/>
        </w:rPr>
        <w:t>，</w:t>
      </w:r>
      <w:r>
        <w:rPr>
          <w:rFonts w:hint="eastAsia"/>
          <w:color w:val="auto"/>
          <w:spacing w:val="4"/>
        </w:rPr>
        <w:t>合同继续履行将损害国家利益和社会公共利益的，</w:t>
      </w:r>
      <w:r>
        <w:rPr>
          <w:color w:val="auto"/>
          <w:spacing w:val="4"/>
        </w:rPr>
        <w:t>学校应</w:t>
      </w:r>
      <w:r>
        <w:rPr>
          <w:rFonts w:hint="eastAsia"/>
          <w:color w:val="auto"/>
          <w:spacing w:val="4"/>
        </w:rPr>
        <w:t>依法</w:t>
      </w:r>
      <w:r>
        <w:rPr>
          <w:color w:val="auto"/>
          <w:spacing w:val="4"/>
        </w:rPr>
        <w:t>解除合同。</w:t>
      </w:r>
    </w:p>
    <w:p w14:paraId="4FE36920">
      <w:pPr>
        <w:spacing w:line="576" w:lineRule="exact"/>
        <w:ind w:firstLine="656" w:firstLineChars="200"/>
        <w:rPr>
          <w:color w:val="auto"/>
          <w:spacing w:val="4"/>
        </w:rPr>
      </w:pPr>
      <w:r>
        <w:rPr>
          <w:rFonts w:hint="eastAsia"/>
          <w:color w:val="auto"/>
          <w:spacing w:val="4"/>
        </w:rPr>
        <w:t>第二十七条  高校应加强食堂应急处置管理</w:t>
      </w:r>
      <w:r>
        <w:rPr>
          <w:color w:val="auto"/>
          <w:spacing w:val="4"/>
        </w:rPr>
        <w:t>，建立舆情监测</w:t>
      </w:r>
      <w:r>
        <w:rPr>
          <w:rFonts w:hint="eastAsia"/>
          <w:color w:val="auto"/>
          <w:spacing w:val="4"/>
        </w:rPr>
        <w:t>和</w:t>
      </w:r>
      <w:r>
        <w:rPr>
          <w:color w:val="auto"/>
          <w:spacing w:val="4"/>
        </w:rPr>
        <w:t>响应机制</w:t>
      </w:r>
      <w:r>
        <w:rPr>
          <w:rFonts w:hint="eastAsia"/>
          <w:color w:val="auto"/>
          <w:spacing w:val="4"/>
        </w:rPr>
        <w:t>，</w:t>
      </w:r>
      <w:r>
        <w:rPr>
          <w:color w:val="auto"/>
          <w:spacing w:val="4"/>
        </w:rPr>
        <w:t>制定食品安全</w:t>
      </w:r>
      <w:r>
        <w:rPr>
          <w:rFonts w:hint="eastAsia"/>
          <w:color w:val="auto"/>
          <w:spacing w:val="4"/>
        </w:rPr>
        <w:t>及食堂管理舆情事件</w:t>
      </w:r>
      <w:r>
        <w:rPr>
          <w:color w:val="auto"/>
          <w:spacing w:val="4"/>
        </w:rPr>
        <w:t>、极端天气、物资供应中断等突发事件应急预案</w:t>
      </w:r>
      <w:r>
        <w:rPr>
          <w:rFonts w:hint="eastAsia"/>
          <w:color w:val="auto"/>
          <w:spacing w:val="4"/>
        </w:rPr>
        <w:t>，</w:t>
      </w:r>
      <w:r>
        <w:rPr>
          <w:color w:val="auto"/>
          <w:spacing w:val="4"/>
        </w:rPr>
        <w:t>加强应急处置队伍建设，定期组织演练</w:t>
      </w:r>
      <w:r>
        <w:rPr>
          <w:rFonts w:hint="eastAsia"/>
          <w:color w:val="auto"/>
          <w:spacing w:val="4"/>
        </w:rPr>
        <w:t>培训，</w:t>
      </w:r>
      <w:r>
        <w:rPr>
          <w:color w:val="auto"/>
          <w:spacing w:val="4"/>
        </w:rPr>
        <w:t>确保</w:t>
      </w:r>
      <w:r>
        <w:rPr>
          <w:rFonts w:hint="eastAsia"/>
          <w:color w:val="auto"/>
          <w:spacing w:val="4"/>
        </w:rPr>
        <w:t>食堂</w:t>
      </w:r>
      <w:r>
        <w:rPr>
          <w:color w:val="auto"/>
          <w:spacing w:val="4"/>
        </w:rPr>
        <w:t>各类突发事件高效处置。</w:t>
      </w:r>
    </w:p>
    <w:p w14:paraId="00C4215F">
      <w:pPr>
        <w:spacing w:line="576" w:lineRule="exact"/>
        <w:ind w:firstLine="656" w:firstLineChars="200"/>
        <w:rPr>
          <w:color w:val="auto"/>
          <w:spacing w:val="4"/>
        </w:rPr>
      </w:pPr>
    </w:p>
    <w:p w14:paraId="21776331">
      <w:pPr>
        <w:spacing w:line="576" w:lineRule="exact"/>
        <w:jc w:val="center"/>
        <w:rPr>
          <w:color w:val="auto"/>
          <w:spacing w:val="4"/>
        </w:rPr>
      </w:pPr>
      <w:r>
        <w:rPr>
          <w:rFonts w:eastAsia="黑体"/>
          <w:color w:val="auto"/>
        </w:rPr>
        <w:t>第五章  安全管理</w:t>
      </w:r>
    </w:p>
    <w:p w14:paraId="760AA605">
      <w:pPr>
        <w:spacing w:line="576" w:lineRule="exact"/>
        <w:ind w:firstLine="656" w:firstLineChars="200"/>
        <w:rPr>
          <w:color w:val="auto"/>
          <w:spacing w:val="4"/>
        </w:rPr>
      </w:pPr>
      <w:r>
        <w:rPr>
          <w:color w:val="auto"/>
          <w:spacing w:val="4"/>
        </w:rPr>
        <w:t>第二十</w:t>
      </w:r>
      <w:r>
        <w:rPr>
          <w:rFonts w:hint="eastAsia"/>
          <w:color w:val="auto"/>
          <w:spacing w:val="4"/>
        </w:rPr>
        <w:t>八</w:t>
      </w:r>
      <w:r>
        <w:rPr>
          <w:color w:val="auto"/>
          <w:spacing w:val="4"/>
        </w:rPr>
        <w:t>条  高校应建立健全由校领导、后勤部门负责人、财务部门负责人、学生工作</w:t>
      </w:r>
      <w:r>
        <w:rPr>
          <w:rFonts w:hint="eastAsia"/>
          <w:color w:val="auto"/>
          <w:spacing w:val="4"/>
        </w:rPr>
        <w:t>负责人、</w:t>
      </w:r>
      <w:r>
        <w:rPr>
          <w:color w:val="auto"/>
          <w:spacing w:val="4"/>
        </w:rPr>
        <w:t>教师代表、学生代表等共同参与、</w:t>
      </w:r>
      <w:r>
        <w:rPr>
          <w:rFonts w:hint="eastAsia"/>
          <w:color w:val="auto"/>
          <w:spacing w:val="4"/>
        </w:rPr>
        <w:t>校内部门</w:t>
      </w:r>
      <w:r>
        <w:rPr>
          <w:color w:val="auto"/>
          <w:spacing w:val="4"/>
        </w:rPr>
        <w:t>分级负责的安全管理与监督机制。</w:t>
      </w:r>
    </w:p>
    <w:p w14:paraId="095D4BEF">
      <w:pPr>
        <w:spacing w:line="576" w:lineRule="exact"/>
        <w:ind w:firstLine="656" w:firstLineChars="200"/>
        <w:rPr>
          <w:color w:val="auto"/>
          <w:spacing w:val="4"/>
        </w:rPr>
      </w:pPr>
      <w:r>
        <w:rPr>
          <w:color w:val="auto"/>
          <w:spacing w:val="4"/>
        </w:rPr>
        <w:t>第二十</w:t>
      </w:r>
      <w:r>
        <w:rPr>
          <w:rFonts w:hint="eastAsia"/>
          <w:color w:val="auto"/>
          <w:spacing w:val="4"/>
        </w:rPr>
        <w:t>九</w:t>
      </w:r>
      <w:r>
        <w:rPr>
          <w:color w:val="auto"/>
          <w:spacing w:val="4"/>
        </w:rPr>
        <w:t xml:space="preserve">条  </w:t>
      </w:r>
      <w:r>
        <w:rPr>
          <w:rFonts w:hint="eastAsia"/>
          <w:color w:val="auto"/>
          <w:spacing w:val="4"/>
        </w:rPr>
        <w:t>食堂</w:t>
      </w:r>
      <w:r>
        <w:rPr>
          <w:color w:val="auto"/>
          <w:spacing w:val="4"/>
        </w:rPr>
        <w:t>应依法配备与供餐规模、经营项目、风险等级等适配的食品安全总监、食品安全员。高校应组织食品安全总监、食品安全员、食堂从业人员开展安全知识和业务培训，确保每年培训时间符合规定，每学期进行考核，考核合格方可上岗。</w:t>
      </w:r>
    </w:p>
    <w:p w14:paraId="1A0E7F0D">
      <w:pPr>
        <w:spacing w:line="576" w:lineRule="exact"/>
        <w:ind w:firstLine="656" w:firstLineChars="200"/>
        <w:rPr>
          <w:color w:val="auto"/>
          <w:spacing w:val="4"/>
        </w:rPr>
      </w:pPr>
      <w:r>
        <w:rPr>
          <w:color w:val="auto"/>
          <w:spacing w:val="4"/>
        </w:rPr>
        <w:t>第</w:t>
      </w:r>
      <w:r>
        <w:rPr>
          <w:rFonts w:hint="eastAsia"/>
          <w:color w:val="auto"/>
          <w:spacing w:val="4"/>
        </w:rPr>
        <w:t>三十</w:t>
      </w:r>
      <w:r>
        <w:rPr>
          <w:color w:val="auto"/>
          <w:spacing w:val="4"/>
        </w:rPr>
        <w:t xml:space="preserve">条  </w:t>
      </w:r>
      <w:r>
        <w:rPr>
          <w:rFonts w:hint="eastAsia"/>
          <w:color w:val="auto"/>
          <w:spacing w:val="4"/>
        </w:rPr>
        <w:t>食堂</w:t>
      </w:r>
      <w:r>
        <w:rPr>
          <w:color w:val="auto"/>
          <w:spacing w:val="4"/>
        </w:rPr>
        <w:t>从业人员需持有效健康证明方可上岗，患有卫生健康部门规定的有碍食品安全疾病的人员，不得从事接触直接入口食品的工作。</w:t>
      </w:r>
    </w:p>
    <w:p w14:paraId="1193F1F1">
      <w:pPr>
        <w:spacing w:line="576" w:lineRule="exact"/>
        <w:ind w:firstLine="656" w:firstLineChars="200"/>
        <w:rPr>
          <w:color w:val="auto"/>
          <w:spacing w:val="4"/>
        </w:rPr>
      </w:pPr>
      <w:r>
        <w:rPr>
          <w:color w:val="auto"/>
          <w:spacing w:val="4"/>
        </w:rPr>
        <w:t>第</w:t>
      </w:r>
      <w:r>
        <w:rPr>
          <w:rFonts w:hint="eastAsia"/>
          <w:color w:val="auto"/>
          <w:spacing w:val="4"/>
        </w:rPr>
        <w:t>三十一</w:t>
      </w:r>
      <w:r>
        <w:rPr>
          <w:color w:val="auto"/>
          <w:spacing w:val="4"/>
        </w:rPr>
        <w:t>条  高校应建立健全</w:t>
      </w:r>
      <w:r>
        <w:rPr>
          <w:rFonts w:hint="eastAsia"/>
          <w:color w:val="auto"/>
          <w:spacing w:val="4"/>
        </w:rPr>
        <w:t>食堂</w:t>
      </w:r>
      <w:r>
        <w:rPr>
          <w:color w:val="auto"/>
          <w:spacing w:val="4"/>
        </w:rPr>
        <w:t>食品安全及相关管理制度，明确食堂原材料采购验收、索票索证、运输贮存、加工售卖、添加剂管理、食品留样、餐饮具清洗消毒、餐厨废弃物处置、病媒生物防治等操作规范，加强食品安全科学化、规范化、精细化、智慧化管理。每年至少开展一次制度自查，当国家食品安全法律、法规、规章、规范性文件</w:t>
      </w:r>
      <w:r>
        <w:rPr>
          <w:rFonts w:hint="eastAsia"/>
          <w:color w:val="auto"/>
          <w:spacing w:val="4"/>
        </w:rPr>
        <w:t>以及食品安全</w:t>
      </w:r>
      <w:r>
        <w:rPr>
          <w:color w:val="auto"/>
          <w:spacing w:val="4"/>
        </w:rPr>
        <w:t>国家标准、地方标准发生变化时，及时开展制度自查和修订。鼓励高校</w:t>
      </w:r>
      <w:r>
        <w:rPr>
          <w:rFonts w:hint="eastAsia"/>
          <w:color w:val="auto"/>
          <w:spacing w:val="4"/>
        </w:rPr>
        <w:t>食堂</w:t>
      </w:r>
      <w:r>
        <w:rPr>
          <w:color w:val="auto"/>
          <w:spacing w:val="4"/>
        </w:rPr>
        <w:t>实施质量管理体系（ISO9001）、食品安全管理体系（ISO22000）、危害分析与关键控制点（HACCP）体系。</w:t>
      </w:r>
    </w:p>
    <w:p w14:paraId="2C0549D9">
      <w:pPr>
        <w:spacing w:line="576" w:lineRule="exact"/>
        <w:ind w:firstLine="656" w:firstLineChars="200"/>
        <w:rPr>
          <w:color w:val="auto"/>
          <w:spacing w:val="4"/>
        </w:rPr>
      </w:pPr>
      <w:r>
        <w:rPr>
          <w:color w:val="auto"/>
          <w:spacing w:val="4"/>
        </w:rPr>
        <w:t>第</w:t>
      </w:r>
      <w:r>
        <w:rPr>
          <w:rFonts w:hint="eastAsia"/>
          <w:color w:val="auto"/>
          <w:spacing w:val="4"/>
        </w:rPr>
        <w:t>三十二</w:t>
      </w:r>
      <w:r>
        <w:rPr>
          <w:color w:val="auto"/>
          <w:spacing w:val="4"/>
        </w:rPr>
        <w:t>条  高校应严格依据食品安全相关</w:t>
      </w:r>
      <w:r>
        <w:rPr>
          <w:rFonts w:hint="eastAsia"/>
          <w:color w:val="auto"/>
          <w:spacing w:val="4"/>
        </w:rPr>
        <w:t>法律法规</w:t>
      </w:r>
      <w:r>
        <w:rPr>
          <w:color w:val="auto"/>
          <w:spacing w:val="4"/>
        </w:rPr>
        <w:t>、标准规范，配备与供餐规模、经营项目适配的设施设备，并结合安全管理需求持续优化。定期开展设施设备维护、清洗、消毒与校验，确保运行安全、合规有效。</w:t>
      </w:r>
    </w:p>
    <w:p w14:paraId="336EB696">
      <w:pPr>
        <w:spacing w:line="576" w:lineRule="exact"/>
        <w:ind w:firstLine="656" w:firstLineChars="200"/>
        <w:rPr>
          <w:color w:val="auto"/>
          <w:spacing w:val="4"/>
        </w:rPr>
      </w:pPr>
      <w:r>
        <w:rPr>
          <w:color w:val="auto"/>
          <w:spacing w:val="4"/>
        </w:rPr>
        <w:t>第</w:t>
      </w:r>
      <w:r>
        <w:rPr>
          <w:rFonts w:hint="eastAsia"/>
          <w:color w:val="auto"/>
          <w:spacing w:val="4"/>
        </w:rPr>
        <w:t>三十三</w:t>
      </w:r>
      <w:r>
        <w:rPr>
          <w:color w:val="auto"/>
          <w:spacing w:val="4"/>
        </w:rPr>
        <w:t>条  高校应严格遵守食堂食品处理区、就餐区、辅助区等区域环境卫生和清洗消毒操作规程，做好清洁消毒</w:t>
      </w:r>
      <w:r>
        <w:rPr>
          <w:rFonts w:hint="eastAsia"/>
          <w:color w:val="auto"/>
          <w:spacing w:val="4"/>
        </w:rPr>
        <w:t>。鼓励有条件的高校定期</w:t>
      </w:r>
      <w:r>
        <w:rPr>
          <w:color w:val="auto"/>
          <w:spacing w:val="4"/>
        </w:rPr>
        <w:t>开展食堂环境微生物监控，通过委托专业检测机构抽样检测或使用快速检测产品检验等方式，每学期至少一次对场所环境进行取样检测。</w:t>
      </w:r>
    </w:p>
    <w:p w14:paraId="3D25A3C2">
      <w:pPr>
        <w:spacing w:line="576" w:lineRule="exact"/>
        <w:ind w:firstLine="656" w:firstLineChars="200"/>
        <w:rPr>
          <w:color w:val="auto"/>
          <w:spacing w:val="4"/>
        </w:rPr>
      </w:pPr>
      <w:r>
        <w:rPr>
          <w:color w:val="auto"/>
          <w:spacing w:val="4"/>
        </w:rPr>
        <w:t>第三十</w:t>
      </w:r>
      <w:r>
        <w:rPr>
          <w:rFonts w:hint="eastAsia"/>
          <w:color w:val="auto"/>
          <w:spacing w:val="4"/>
        </w:rPr>
        <w:t>四</w:t>
      </w:r>
      <w:r>
        <w:rPr>
          <w:color w:val="auto"/>
          <w:spacing w:val="4"/>
        </w:rPr>
        <w:t>条  高校应对鼠类、苍蝇、蟑螂</w:t>
      </w:r>
      <w:r>
        <w:rPr>
          <w:rFonts w:hint="eastAsia"/>
          <w:color w:val="auto"/>
          <w:spacing w:val="4"/>
        </w:rPr>
        <w:t>、蚊虫</w:t>
      </w:r>
      <w:r>
        <w:rPr>
          <w:color w:val="auto"/>
          <w:spacing w:val="4"/>
        </w:rPr>
        <w:t>等有害生物实施科学防控，落实物理防治设施安装与维护，做好日常排查与效果评估。鼓励有条件的高校引入智能化有害生物监测设备。</w:t>
      </w:r>
    </w:p>
    <w:p w14:paraId="21A11B79">
      <w:pPr>
        <w:spacing w:line="576" w:lineRule="exact"/>
        <w:ind w:firstLine="656" w:firstLineChars="200"/>
        <w:rPr>
          <w:color w:val="auto"/>
          <w:spacing w:val="4"/>
        </w:rPr>
      </w:pPr>
      <w:r>
        <w:rPr>
          <w:color w:val="auto"/>
          <w:spacing w:val="4"/>
        </w:rPr>
        <w:t>第三十</w:t>
      </w:r>
      <w:r>
        <w:rPr>
          <w:rFonts w:hint="eastAsia"/>
          <w:color w:val="auto"/>
          <w:spacing w:val="4"/>
        </w:rPr>
        <w:t>五</w:t>
      </w:r>
      <w:r>
        <w:rPr>
          <w:color w:val="auto"/>
          <w:spacing w:val="4"/>
        </w:rPr>
        <w:t>条  高校应设置符合要求的餐饮具清洗消毒区，配备能满足需要的餐饮具清洗消毒和保洁设施设备，严格落实复用餐饮具使用、清洗、消毒、保洁操作规范，确保清洗消毒效果符合技术要求。鼓励有条件的高校配备智能化洗消系统、消毒房（库）。</w:t>
      </w:r>
    </w:p>
    <w:p w14:paraId="18DB16B6">
      <w:pPr>
        <w:spacing w:line="576" w:lineRule="exact"/>
        <w:ind w:firstLine="656" w:firstLineChars="200"/>
        <w:rPr>
          <w:color w:val="auto"/>
          <w:spacing w:val="4"/>
        </w:rPr>
      </w:pPr>
      <w:r>
        <w:rPr>
          <w:color w:val="auto"/>
          <w:spacing w:val="4"/>
        </w:rPr>
        <w:t>第</w:t>
      </w:r>
      <w:r>
        <w:rPr>
          <w:rFonts w:hint="eastAsia"/>
          <w:color w:val="auto"/>
          <w:spacing w:val="4"/>
        </w:rPr>
        <w:t>三十六</w:t>
      </w:r>
      <w:r>
        <w:rPr>
          <w:color w:val="auto"/>
          <w:spacing w:val="4"/>
        </w:rPr>
        <w:t>条  鼓励有条件的</w:t>
      </w:r>
      <w:r>
        <w:rPr>
          <w:rFonts w:hint="eastAsia"/>
          <w:color w:val="auto"/>
          <w:spacing w:val="4"/>
        </w:rPr>
        <w:t>高校</w:t>
      </w:r>
      <w:r>
        <w:rPr>
          <w:color w:val="auto"/>
          <w:spacing w:val="4"/>
        </w:rPr>
        <w:t>开展食品原料农药残留</w:t>
      </w:r>
      <w:r>
        <w:rPr>
          <w:rFonts w:hint="eastAsia"/>
          <w:color w:val="auto"/>
          <w:spacing w:val="4"/>
        </w:rPr>
        <w:t>、</w:t>
      </w:r>
      <w:r>
        <w:rPr>
          <w:color w:val="auto"/>
          <w:spacing w:val="4"/>
        </w:rPr>
        <w:t>餐饮具阴离子合成洗涤剂残留等快速检测</w:t>
      </w:r>
      <w:r>
        <w:rPr>
          <w:rFonts w:hint="eastAsia"/>
          <w:color w:val="auto"/>
          <w:spacing w:val="4"/>
        </w:rPr>
        <w:t>。</w:t>
      </w:r>
      <w:r>
        <w:rPr>
          <w:color w:val="auto"/>
          <w:spacing w:val="4"/>
        </w:rPr>
        <w:t>快检结果表明可能不符合食品安全标准的，应暂停</w:t>
      </w:r>
      <w:r>
        <w:rPr>
          <w:rFonts w:hint="eastAsia"/>
          <w:color w:val="auto"/>
          <w:spacing w:val="4"/>
        </w:rPr>
        <w:t>使用</w:t>
      </w:r>
      <w:r>
        <w:rPr>
          <w:color w:val="auto"/>
          <w:spacing w:val="4"/>
        </w:rPr>
        <w:t>相关产品</w:t>
      </w:r>
      <w:r>
        <w:rPr>
          <w:rFonts w:hint="eastAsia"/>
          <w:color w:val="auto"/>
          <w:spacing w:val="4"/>
        </w:rPr>
        <w:t>和餐饮具，</w:t>
      </w:r>
      <w:r>
        <w:rPr>
          <w:color w:val="auto"/>
          <w:spacing w:val="4"/>
        </w:rPr>
        <w:t>妥善处置问题产品</w:t>
      </w:r>
      <w:r>
        <w:rPr>
          <w:rFonts w:hint="eastAsia"/>
          <w:color w:val="auto"/>
          <w:spacing w:val="4"/>
        </w:rPr>
        <w:t>和餐饮具</w:t>
      </w:r>
      <w:r>
        <w:rPr>
          <w:color w:val="auto"/>
          <w:spacing w:val="4"/>
        </w:rPr>
        <w:t>，</w:t>
      </w:r>
      <w:r>
        <w:rPr>
          <w:rFonts w:hint="eastAsia"/>
          <w:color w:val="auto"/>
          <w:spacing w:val="4"/>
        </w:rPr>
        <w:t>有效</w:t>
      </w:r>
      <w:r>
        <w:rPr>
          <w:color w:val="auto"/>
          <w:spacing w:val="4"/>
        </w:rPr>
        <w:t>防控食品安全风险。</w:t>
      </w:r>
    </w:p>
    <w:p w14:paraId="40B01552">
      <w:pPr>
        <w:spacing w:line="576" w:lineRule="exact"/>
        <w:ind w:firstLine="656" w:firstLineChars="200"/>
        <w:rPr>
          <w:color w:val="auto"/>
          <w:spacing w:val="4"/>
        </w:rPr>
      </w:pPr>
      <w:r>
        <w:rPr>
          <w:color w:val="auto"/>
          <w:spacing w:val="4"/>
        </w:rPr>
        <w:t>第三十</w:t>
      </w:r>
      <w:r>
        <w:rPr>
          <w:rFonts w:hint="eastAsia"/>
          <w:color w:val="auto"/>
          <w:spacing w:val="4"/>
        </w:rPr>
        <w:t>七</w:t>
      </w:r>
      <w:r>
        <w:rPr>
          <w:color w:val="auto"/>
          <w:spacing w:val="4"/>
        </w:rPr>
        <w:t>条  高校应结合实际建立并及时更新《食品安全风险管控清单》，落实“日管控、周排查、月调度”机制，实行食品安全风险动态管理。做好食堂生产安全、消防安全、燃气安全等各项工作，建立健全相关制度，落实隐患排查和闭环整治。</w:t>
      </w:r>
    </w:p>
    <w:p w14:paraId="736FF30C">
      <w:pPr>
        <w:spacing w:line="576" w:lineRule="exact"/>
        <w:ind w:firstLine="656" w:firstLineChars="200"/>
        <w:rPr>
          <w:color w:val="auto"/>
          <w:spacing w:val="4"/>
        </w:rPr>
      </w:pPr>
      <w:r>
        <w:rPr>
          <w:rFonts w:hint="eastAsia"/>
          <w:color w:val="auto"/>
          <w:spacing w:val="4"/>
        </w:rPr>
        <w:t>第</w:t>
      </w:r>
      <w:r>
        <w:rPr>
          <w:color w:val="auto"/>
          <w:spacing w:val="4"/>
        </w:rPr>
        <w:t>三十</w:t>
      </w:r>
      <w:r>
        <w:rPr>
          <w:rFonts w:hint="eastAsia"/>
          <w:color w:val="auto"/>
          <w:spacing w:val="4"/>
        </w:rPr>
        <w:t>八条  食堂应积极推进“互联网+明厨亮灶”建设，在食品验收区、原料贮存区、初加工区、加工烹饪区、专间、专用操作区、分装供餐区、餐饮具清洗消毒区、餐厨废弃物处理区等区域安装可视化监控设备，并将视频接入市场监管部门“互联网+AI监管”平台，逐步实现可视化线上监管和智能预警。</w:t>
      </w:r>
    </w:p>
    <w:p w14:paraId="00DFB78F">
      <w:pPr>
        <w:spacing w:line="576" w:lineRule="exact"/>
        <w:jc w:val="center"/>
        <w:rPr>
          <w:rFonts w:eastAsia="微软雅黑"/>
          <w:color w:val="auto"/>
          <w:spacing w:val="4"/>
        </w:rPr>
      </w:pPr>
    </w:p>
    <w:p w14:paraId="12E2FAED">
      <w:pPr>
        <w:spacing w:line="576" w:lineRule="exact"/>
        <w:jc w:val="center"/>
        <w:rPr>
          <w:rFonts w:ascii="黑体" w:hAnsi="黑体" w:eastAsia="黑体" w:cs="黑体"/>
          <w:color w:val="auto"/>
        </w:rPr>
      </w:pPr>
      <w:r>
        <w:rPr>
          <w:rFonts w:hint="eastAsia" w:ascii="黑体" w:hAnsi="黑体" w:eastAsia="黑体" w:cs="黑体"/>
          <w:color w:val="auto"/>
          <w:spacing w:val="4"/>
        </w:rPr>
        <w:t>第六章  膳食经费管理</w:t>
      </w:r>
    </w:p>
    <w:p w14:paraId="42B06EFA">
      <w:pPr>
        <w:spacing w:line="576" w:lineRule="exact"/>
        <w:ind w:firstLine="656" w:firstLineChars="200"/>
        <w:rPr>
          <w:color w:val="auto"/>
          <w:spacing w:val="4"/>
        </w:rPr>
      </w:pPr>
      <w:r>
        <w:rPr>
          <w:color w:val="auto"/>
          <w:spacing w:val="4"/>
        </w:rPr>
        <w:t>第三十</w:t>
      </w:r>
      <w:r>
        <w:rPr>
          <w:rFonts w:hint="eastAsia"/>
          <w:color w:val="auto"/>
          <w:spacing w:val="4"/>
        </w:rPr>
        <w:t>九</w:t>
      </w:r>
      <w:r>
        <w:rPr>
          <w:color w:val="auto"/>
          <w:spacing w:val="4"/>
        </w:rPr>
        <w:t xml:space="preserve">条  </w:t>
      </w:r>
      <w:r>
        <w:rPr>
          <w:rFonts w:hint="eastAsia"/>
          <w:color w:val="auto"/>
          <w:spacing w:val="4"/>
        </w:rPr>
        <w:t>食堂</w:t>
      </w:r>
      <w:r>
        <w:rPr>
          <w:color w:val="auto"/>
          <w:spacing w:val="4"/>
        </w:rPr>
        <w:t>伙食费收费方式应符合实际供餐模式和学生就餐特点。</w:t>
      </w:r>
      <w:r>
        <w:rPr>
          <w:rFonts w:hint="eastAsia"/>
          <w:color w:val="auto"/>
          <w:kern w:val="0"/>
        </w:rPr>
        <w:t>伙食费原则上采用</w:t>
      </w:r>
      <w:r>
        <w:rPr>
          <w:color w:val="auto"/>
          <w:kern w:val="0"/>
        </w:rPr>
        <w:t>“实时收费”或“后收费”</w:t>
      </w:r>
      <w:r>
        <w:rPr>
          <w:rFonts w:hint="eastAsia"/>
          <w:color w:val="auto"/>
          <w:kern w:val="0"/>
        </w:rPr>
        <w:t>方式收取。</w:t>
      </w:r>
      <w:r>
        <w:rPr>
          <w:color w:val="auto"/>
          <w:spacing w:val="4"/>
        </w:rPr>
        <w:t>全面推行线上缴费，由学生家长或学生直接将伙食费缴入学校指定的银行账户，确需现金缴纳的由学校按财务管理规定及时存入学校指定银行账户。承包经营的食堂，伙食费由学校统一代收。</w:t>
      </w:r>
    </w:p>
    <w:p w14:paraId="74708D98">
      <w:pPr>
        <w:spacing w:line="576" w:lineRule="exact"/>
        <w:ind w:firstLine="656" w:firstLineChars="200"/>
        <w:rPr>
          <w:color w:val="auto"/>
          <w:spacing w:val="4"/>
        </w:rPr>
      </w:pPr>
      <w:r>
        <w:rPr>
          <w:color w:val="auto"/>
          <w:spacing w:val="4"/>
        </w:rPr>
        <w:t>第</w:t>
      </w:r>
      <w:r>
        <w:rPr>
          <w:rFonts w:hint="eastAsia"/>
          <w:color w:val="auto"/>
          <w:spacing w:val="4"/>
        </w:rPr>
        <w:t>四十</w:t>
      </w:r>
      <w:r>
        <w:rPr>
          <w:color w:val="auto"/>
          <w:spacing w:val="4"/>
        </w:rPr>
        <w:t>条  高校应建立科学合理的饭菜价格形成机制，落实采购价格公示与明码标价。依托食堂管理领导小组，严格执行基本大伙饭菜价格集体研究、民主决策程序，充分征求师生意见。建立与市场物价波动挂钩的动态调整机制，利用信息化手段加强价格与消费水平监测分析，每学期至少对单品价格评估维护一次，确保基本大伙饭菜价格</w:t>
      </w:r>
      <w:r>
        <w:rPr>
          <w:rFonts w:hint="eastAsia"/>
          <w:color w:val="auto"/>
          <w:spacing w:val="4"/>
        </w:rPr>
        <w:t>低于、特色档口饭菜价格</w:t>
      </w:r>
      <w:r>
        <w:rPr>
          <w:color w:val="auto"/>
          <w:spacing w:val="4"/>
        </w:rPr>
        <w:t>不高于</w:t>
      </w:r>
      <w:r>
        <w:rPr>
          <w:rFonts w:hint="eastAsia"/>
          <w:color w:val="auto"/>
          <w:spacing w:val="4"/>
        </w:rPr>
        <w:t>当地</w:t>
      </w:r>
      <w:r>
        <w:rPr>
          <w:color w:val="auto"/>
          <w:spacing w:val="4"/>
        </w:rPr>
        <w:t>校外</w:t>
      </w:r>
      <w:r>
        <w:rPr>
          <w:rFonts w:hint="eastAsia"/>
          <w:color w:val="auto"/>
          <w:spacing w:val="4"/>
        </w:rPr>
        <w:t>合规餐饮</w:t>
      </w:r>
      <w:r>
        <w:rPr>
          <w:color w:val="auto"/>
          <w:spacing w:val="4"/>
        </w:rPr>
        <w:t>同类同质同量</w:t>
      </w:r>
      <w:r>
        <w:rPr>
          <w:rFonts w:hint="eastAsia"/>
          <w:color w:val="auto"/>
          <w:spacing w:val="4"/>
        </w:rPr>
        <w:t>饭菜</w:t>
      </w:r>
      <w:r>
        <w:rPr>
          <w:color w:val="auto"/>
          <w:spacing w:val="4"/>
        </w:rPr>
        <w:t>价格。</w:t>
      </w:r>
    </w:p>
    <w:p w14:paraId="7F644BF0">
      <w:pPr>
        <w:spacing w:line="576" w:lineRule="exact"/>
        <w:ind w:firstLine="656" w:firstLineChars="200"/>
        <w:rPr>
          <w:color w:val="auto"/>
          <w:spacing w:val="4"/>
        </w:rPr>
      </w:pPr>
      <w:r>
        <w:rPr>
          <w:color w:val="auto"/>
          <w:spacing w:val="4"/>
        </w:rPr>
        <w:t>第</w:t>
      </w:r>
      <w:r>
        <w:rPr>
          <w:rFonts w:hint="eastAsia"/>
          <w:color w:val="auto"/>
          <w:spacing w:val="4"/>
        </w:rPr>
        <w:t>四</w:t>
      </w:r>
      <w:r>
        <w:rPr>
          <w:color w:val="auto"/>
          <w:spacing w:val="4"/>
        </w:rPr>
        <w:t>十</w:t>
      </w:r>
      <w:r>
        <w:rPr>
          <w:rFonts w:hint="eastAsia"/>
          <w:color w:val="auto"/>
          <w:spacing w:val="4"/>
        </w:rPr>
        <w:t>一</w:t>
      </w:r>
      <w:r>
        <w:rPr>
          <w:color w:val="auto"/>
          <w:spacing w:val="4"/>
        </w:rPr>
        <w:t>条  自主经营</w:t>
      </w:r>
      <w:r>
        <w:rPr>
          <w:rFonts w:hint="eastAsia"/>
          <w:color w:val="auto"/>
          <w:spacing w:val="4"/>
        </w:rPr>
        <w:t>食堂</w:t>
      </w:r>
      <w:r>
        <w:rPr>
          <w:color w:val="auto"/>
          <w:spacing w:val="4"/>
        </w:rPr>
        <w:t>财务活动纳入学校统一管理，学校所属独立核算的食堂可单独开设</w:t>
      </w:r>
      <w:r>
        <w:rPr>
          <w:rFonts w:hint="eastAsia"/>
          <w:color w:val="auto"/>
          <w:spacing w:val="4"/>
          <w:lang w:val="en-US" w:eastAsia="zh-CN"/>
        </w:rPr>
        <w:t>1个</w:t>
      </w:r>
      <w:r>
        <w:rPr>
          <w:color w:val="auto"/>
          <w:spacing w:val="4"/>
        </w:rPr>
        <w:t>银行账户，可设置独立账套进行会计核算，实行同类型资金“统一管理、分账核算”</w:t>
      </w:r>
      <w:r>
        <w:rPr>
          <w:rFonts w:hint="eastAsia"/>
          <w:color w:val="auto"/>
          <w:spacing w:val="4"/>
        </w:rPr>
        <w:t>，成本核算要做到清晰、准确、完整</w:t>
      </w:r>
      <w:r>
        <w:rPr>
          <w:color w:val="auto"/>
          <w:spacing w:val="4"/>
        </w:rPr>
        <w:t>。</w:t>
      </w:r>
    </w:p>
    <w:p w14:paraId="2BDAC700">
      <w:pPr>
        <w:spacing w:line="576" w:lineRule="exact"/>
        <w:ind w:firstLine="656" w:firstLineChars="200"/>
        <w:rPr>
          <w:color w:val="auto"/>
          <w:spacing w:val="4"/>
        </w:rPr>
      </w:pPr>
      <w:r>
        <w:rPr>
          <w:color w:val="auto"/>
          <w:spacing w:val="4"/>
        </w:rPr>
        <w:t>第</w:t>
      </w:r>
      <w:r>
        <w:rPr>
          <w:rFonts w:hint="eastAsia"/>
          <w:color w:val="auto"/>
          <w:spacing w:val="4"/>
        </w:rPr>
        <w:t>四十二</w:t>
      </w:r>
      <w:r>
        <w:rPr>
          <w:color w:val="auto"/>
          <w:spacing w:val="4"/>
        </w:rPr>
        <w:t xml:space="preserve">条  </w:t>
      </w:r>
      <w:r>
        <w:rPr>
          <w:rFonts w:hint="eastAsia"/>
          <w:color w:val="auto"/>
          <w:spacing w:val="4"/>
        </w:rPr>
        <w:t>高校</w:t>
      </w:r>
      <w:r>
        <w:rPr>
          <w:color w:val="auto"/>
          <w:spacing w:val="4"/>
        </w:rPr>
        <w:t>应建立</w:t>
      </w:r>
      <w:r>
        <w:rPr>
          <w:rFonts w:hint="eastAsia"/>
          <w:color w:val="auto"/>
          <w:spacing w:val="4"/>
        </w:rPr>
        <w:t>食堂</w:t>
      </w:r>
      <w:r>
        <w:rPr>
          <w:color w:val="auto"/>
          <w:spacing w:val="4"/>
        </w:rPr>
        <w:t>科学合理的成本分摊机制，明确成本分摊比例，合理分摊</w:t>
      </w:r>
      <w:r>
        <w:rPr>
          <w:rFonts w:hint="eastAsia"/>
          <w:color w:val="auto"/>
          <w:spacing w:val="4"/>
        </w:rPr>
        <w:t>食堂编制内人员</w:t>
      </w:r>
      <w:r>
        <w:rPr>
          <w:color w:val="auto"/>
          <w:spacing w:val="4"/>
        </w:rPr>
        <w:t>人力成本和能源成本，</w:t>
      </w:r>
      <w:r>
        <w:rPr>
          <w:rFonts w:hint="eastAsia"/>
          <w:color w:val="auto"/>
          <w:spacing w:val="4"/>
        </w:rPr>
        <w:t>食堂</w:t>
      </w:r>
      <w:r>
        <w:rPr>
          <w:color w:val="auto"/>
          <w:spacing w:val="4"/>
        </w:rPr>
        <w:t>基本大伙食材成本占比原则上不低于伙食费收入的</w:t>
      </w:r>
      <w:r>
        <w:rPr>
          <w:rFonts w:hint="eastAsia"/>
          <w:color w:val="auto"/>
          <w:spacing w:val="4"/>
          <w:lang w:val="en-US" w:eastAsia="zh-CN"/>
        </w:rPr>
        <w:t>60</w:t>
      </w:r>
      <w:r>
        <w:rPr>
          <w:color w:val="auto"/>
          <w:spacing w:val="4"/>
        </w:rPr>
        <w:t>%</w:t>
      </w:r>
      <w:r>
        <w:rPr>
          <w:rFonts w:hint="eastAsia"/>
          <w:color w:val="auto"/>
          <w:spacing w:val="4"/>
        </w:rPr>
        <w:t>，</w:t>
      </w:r>
      <w:r>
        <w:rPr>
          <w:color w:val="auto"/>
          <w:spacing w:val="4"/>
        </w:rPr>
        <w:t>房屋建筑物及学校投入的大型设施设备折旧不列入</w:t>
      </w:r>
      <w:r>
        <w:rPr>
          <w:rFonts w:hint="eastAsia"/>
          <w:color w:val="auto"/>
          <w:spacing w:val="4"/>
        </w:rPr>
        <w:t>食堂</w:t>
      </w:r>
      <w:r>
        <w:rPr>
          <w:color w:val="auto"/>
          <w:spacing w:val="4"/>
        </w:rPr>
        <w:t>成本核算。</w:t>
      </w:r>
    </w:p>
    <w:p w14:paraId="2841CFD6">
      <w:pPr>
        <w:spacing w:line="576" w:lineRule="exact"/>
        <w:ind w:firstLine="656" w:firstLineChars="200"/>
        <w:rPr>
          <w:color w:val="auto"/>
          <w:spacing w:val="4"/>
        </w:rPr>
      </w:pPr>
      <w:r>
        <w:rPr>
          <w:color w:val="auto"/>
          <w:spacing w:val="4"/>
        </w:rPr>
        <w:t>第</w:t>
      </w:r>
      <w:r>
        <w:rPr>
          <w:rFonts w:hint="eastAsia"/>
          <w:color w:val="auto"/>
          <w:spacing w:val="4"/>
        </w:rPr>
        <w:t>四十三</w:t>
      </w:r>
      <w:r>
        <w:rPr>
          <w:color w:val="auto"/>
          <w:spacing w:val="4"/>
        </w:rPr>
        <w:t>条  高校应统筹财政补助收入</w:t>
      </w:r>
      <w:r>
        <w:rPr>
          <w:rFonts w:hint="eastAsia"/>
          <w:color w:val="auto"/>
          <w:spacing w:val="4"/>
        </w:rPr>
        <w:t>、事业收入</w:t>
      </w:r>
      <w:r>
        <w:rPr>
          <w:color w:val="auto"/>
          <w:spacing w:val="4"/>
        </w:rPr>
        <w:t>及其他收入等资金渠道，按规定足额设立</w:t>
      </w:r>
      <w:r>
        <w:rPr>
          <w:rFonts w:hint="eastAsia"/>
          <w:color w:val="auto"/>
          <w:spacing w:val="4"/>
        </w:rPr>
        <w:t>食堂</w:t>
      </w:r>
      <w:r>
        <w:rPr>
          <w:color w:val="auto"/>
          <w:spacing w:val="4"/>
        </w:rPr>
        <w:t>饭菜价格平抑基金，并制定科学、规范的使用管理办法。当食品原材料</w:t>
      </w:r>
      <w:r>
        <w:rPr>
          <w:rFonts w:hint="eastAsia"/>
          <w:color w:val="auto"/>
          <w:spacing w:val="4"/>
        </w:rPr>
        <w:t>、用工等运营成本</w:t>
      </w:r>
      <w:r>
        <w:rPr>
          <w:color w:val="auto"/>
          <w:spacing w:val="4"/>
        </w:rPr>
        <w:t>大幅上涨时，适时启用基金对</w:t>
      </w:r>
      <w:r>
        <w:rPr>
          <w:rFonts w:hint="eastAsia"/>
          <w:color w:val="auto"/>
          <w:spacing w:val="4"/>
        </w:rPr>
        <w:t>食堂</w:t>
      </w:r>
      <w:r>
        <w:rPr>
          <w:color w:val="auto"/>
          <w:spacing w:val="4"/>
        </w:rPr>
        <w:t>（包括承包经营的食堂）基本大伙进行补贴。基金当年使用部分原则上应在次年补齐。</w:t>
      </w:r>
    </w:p>
    <w:p w14:paraId="29953705">
      <w:pPr>
        <w:spacing w:line="576" w:lineRule="exact"/>
        <w:ind w:firstLine="656" w:firstLineChars="200"/>
        <w:rPr>
          <w:color w:val="auto"/>
          <w:spacing w:val="4"/>
        </w:rPr>
      </w:pPr>
      <w:r>
        <w:rPr>
          <w:color w:val="auto"/>
          <w:spacing w:val="4"/>
        </w:rPr>
        <w:t>第</w:t>
      </w:r>
      <w:r>
        <w:rPr>
          <w:rFonts w:hint="eastAsia"/>
          <w:color w:val="auto"/>
          <w:spacing w:val="4"/>
        </w:rPr>
        <w:t>四十四</w:t>
      </w:r>
      <w:r>
        <w:rPr>
          <w:color w:val="auto"/>
          <w:spacing w:val="4"/>
        </w:rPr>
        <w:t xml:space="preserve">条  </w:t>
      </w:r>
      <w:r>
        <w:rPr>
          <w:rFonts w:hint="eastAsia"/>
          <w:color w:val="auto"/>
          <w:spacing w:val="4"/>
        </w:rPr>
        <w:t>自主经营食堂</w:t>
      </w:r>
      <w:r>
        <w:rPr>
          <w:rFonts w:hint="eastAsia"/>
          <w:color w:val="auto"/>
          <w:kern w:val="0"/>
        </w:rPr>
        <w:t>收支</w:t>
      </w:r>
      <w:r>
        <w:rPr>
          <w:color w:val="auto"/>
          <w:kern w:val="0"/>
        </w:rPr>
        <w:t>结余</w:t>
      </w:r>
      <w:r>
        <w:rPr>
          <w:rFonts w:hint="eastAsia"/>
          <w:color w:val="auto"/>
          <w:kern w:val="0"/>
        </w:rPr>
        <w:t>应转入</w:t>
      </w:r>
      <w:r>
        <w:rPr>
          <w:color w:val="auto"/>
          <w:kern w:val="0"/>
        </w:rPr>
        <w:t>下一会计年度</w:t>
      </w:r>
      <w:r>
        <w:rPr>
          <w:rFonts w:hint="eastAsia"/>
          <w:color w:val="auto"/>
          <w:kern w:val="0"/>
        </w:rPr>
        <w:t>继续使用</w:t>
      </w:r>
      <w:r>
        <w:rPr>
          <w:color w:val="auto"/>
          <w:kern w:val="0"/>
        </w:rPr>
        <w:t>，</w:t>
      </w:r>
      <w:r>
        <w:rPr>
          <w:color w:val="auto"/>
          <w:spacing w:val="4"/>
        </w:rPr>
        <w:t>专项用于改善学生伙食、</w:t>
      </w:r>
      <w:r>
        <w:rPr>
          <w:rFonts w:hint="eastAsia"/>
          <w:color w:val="auto"/>
          <w:spacing w:val="4"/>
        </w:rPr>
        <w:t>更新食堂小型设施设备或平抑物价、以丰补欠</w:t>
      </w:r>
      <w:r>
        <w:rPr>
          <w:color w:val="auto"/>
          <w:spacing w:val="4"/>
        </w:rPr>
        <w:t>，学校不得另作他用</w:t>
      </w:r>
      <w:r>
        <w:rPr>
          <w:rFonts w:hint="eastAsia"/>
          <w:color w:val="auto"/>
          <w:spacing w:val="4"/>
        </w:rPr>
        <w:t>，</w:t>
      </w:r>
      <w:r>
        <w:rPr>
          <w:color w:val="auto"/>
          <w:spacing w:val="4"/>
        </w:rPr>
        <w:t>原则上餐费累计结余不超过年度收入的3%。采用承包经营的，原则上项目年</w:t>
      </w:r>
      <w:r>
        <w:rPr>
          <w:rFonts w:hint="eastAsia"/>
          <w:color w:val="auto"/>
          <w:spacing w:val="4"/>
        </w:rPr>
        <w:t>净</w:t>
      </w:r>
      <w:r>
        <w:rPr>
          <w:color w:val="auto"/>
          <w:spacing w:val="4"/>
        </w:rPr>
        <w:t>利润率不超过5%，学校应通过合同约定、报表审核、</w:t>
      </w:r>
      <w:r>
        <w:rPr>
          <w:rFonts w:hint="eastAsia"/>
          <w:color w:val="auto"/>
          <w:spacing w:val="4"/>
        </w:rPr>
        <w:t>内部</w:t>
      </w:r>
      <w:r>
        <w:rPr>
          <w:color w:val="auto"/>
          <w:spacing w:val="4"/>
        </w:rPr>
        <w:t>审计等方式，对其财务状况进行全过程监管，严防虚增成本、套取利润。</w:t>
      </w:r>
    </w:p>
    <w:p w14:paraId="2EB6B341">
      <w:pPr>
        <w:spacing w:line="576" w:lineRule="exact"/>
        <w:jc w:val="center"/>
        <w:rPr>
          <w:rFonts w:eastAsia="微软雅黑"/>
          <w:color w:val="auto"/>
          <w:spacing w:val="4"/>
        </w:rPr>
      </w:pPr>
    </w:p>
    <w:p w14:paraId="39023628">
      <w:pPr>
        <w:spacing w:line="576" w:lineRule="exact"/>
        <w:jc w:val="center"/>
        <w:rPr>
          <w:rFonts w:ascii="黑体" w:hAnsi="黑体" w:eastAsia="黑体" w:cs="黑体"/>
          <w:color w:val="auto"/>
          <w:spacing w:val="4"/>
        </w:rPr>
      </w:pPr>
      <w:r>
        <w:rPr>
          <w:rFonts w:hint="eastAsia" w:ascii="黑体" w:hAnsi="黑体" w:eastAsia="黑体" w:cs="黑体"/>
          <w:color w:val="auto"/>
          <w:spacing w:val="4"/>
        </w:rPr>
        <w:t>第七章  高质量发展</w:t>
      </w:r>
    </w:p>
    <w:p w14:paraId="6D4C2655">
      <w:pPr>
        <w:spacing w:line="576" w:lineRule="exact"/>
        <w:ind w:firstLine="656" w:firstLineChars="200"/>
        <w:rPr>
          <w:color w:val="auto"/>
          <w:spacing w:val="4"/>
        </w:rPr>
      </w:pPr>
      <w:r>
        <w:rPr>
          <w:color w:val="auto"/>
          <w:spacing w:val="4"/>
        </w:rPr>
        <w:t>第</w:t>
      </w:r>
      <w:r>
        <w:rPr>
          <w:rFonts w:hint="eastAsia"/>
          <w:color w:val="auto"/>
          <w:spacing w:val="4"/>
        </w:rPr>
        <w:t>四十五</w:t>
      </w:r>
      <w:r>
        <w:rPr>
          <w:color w:val="auto"/>
          <w:spacing w:val="4"/>
        </w:rPr>
        <w:t>条  高校应落实健康中国建设要求，建立科学膳食服务体系。遵循营养学原理，结合学生营养需求合理搭配膳食，定期开展膳食需求调研，动态优化菜品结构。优先选用新鲜时令食材，深入推进减盐、减油、减糖行动，引导学生形成健康饮食习惯。鼓励配备专（兼）职营养</w:t>
      </w:r>
      <w:r>
        <w:rPr>
          <w:rFonts w:hint="eastAsia"/>
          <w:color w:val="auto"/>
          <w:spacing w:val="4"/>
        </w:rPr>
        <w:t>专业人员</w:t>
      </w:r>
      <w:r>
        <w:rPr>
          <w:color w:val="auto"/>
          <w:spacing w:val="4"/>
        </w:rPr>
        <w:t>，探索开展学生营养健康监测。</w:t>
      </w:r>
    </w:p>
    <w:p w14:paraId="3ACE043F">
      <w:pPr>
        <w:spacing w:line="576" w:lineRule="exact"/>
        <w:ind w:firstLine="656" w:firstLineChars="200"/>
        <w:rPr>
          <w:color w:val="auto"/>
          <w:spacing w:val="4"/>
        </w:rPr>
      </w:pPr>
      <w:r>
        <w:rPr>
          <w:color w:val="auto"/>
          <w:spacing w:val="4"/>
        </w:rPr>
        <w:t>第四十</w:t>
      </w:r>
      <w:r>
        <w:rPr>
          <w:rFonts w:hint="eastAsia"/>
          <w:color w:val="auto"/>
          <w:spacing w:val="4"/>
        </w:rPr>
        <w:t>六</w:t>
      </w:r>
      <w:r>
        <w:rPr>
          <w:color w:val="auto"/>
          <w:spacing w:val="4"/>
        </w:rPr>
        <w:t>条  高校应全面落实节能环保要求，推广应用高效节能节水设施设备，实施油烟专项治理，确保排放达标，鼓励建立能耗实时监测体系。持续开展“光盘行动”，鼓励推行“小份、半份、称重”等灵活供餐模式，从源头减少餐饮浪费。完善餐厨垃圾分类管理制度，逐步停止使用不可降解一次性塑料制品，推进餐厨垃圾资源化利用。</w:t>
      </w:r>
    </w:p>
    <w:p w14:paraId="3E1E04FF">
      <w:pPr>
        <w:spacing w:line="576" w:lineRule="exact"/>
        <w:ind w:firstLine="656" w:firstLineChars="200"/>
        <w:rPr>
          <w:color w:val="auto"/>
          <w:spacing w:val="4"/>
        </w:rPr>
      </w:pPr>
      <w:r>
        <w:rPr>
          <w:color w:val="auto"/>
          <w:spacing w:val="4"/>
        </w:rPr>
        <w:t>第四十</w:t>
      </w:r>
      <w:r>
        <w:rPr>
          <w:rFonts w:hint="eastAsia"/>
          <w:color w:val="auto"/>
          <w:spacing w:val="4"/>
        </w:rPr>
        <w:t>七</w:t>
      </w:r>
      <w:r>
        <w:rPr>
          <w:color w:val="auto"/>
          <w:spacing w:val="4"/>
        </w:rPr>
        <w:t>条  高校应将</w:t>
      </w:r>
      <w:r>
        <w:rPr>
          <w:rFonts w:hint="eastAsia"/>
          <w:color w:val="auto"/>
          <w:spacing w:val="4"/>
        </w:rPr>
        <w:t>食堂</w:t>
      </w:r>
      <w:r>
        <w:rPr>
          <w:color w:val="auto"/>
          <w:spacing w:val="4"/>
        </w:rPr>
        <w:t>信息化建设纳入学校整体规划，运用大数据、物联网等技术，构建集采购管理、生产加工、销售服务、成本核算于一体的智慧管理平台，并主动对接监管部门系统，提升管理效能。鼓励推广智能点餐、刷脸支付、营养分析等应用，建立运营大数据分析机制，精准预测就餐需求，优化运营管理。严格落实数据安全管理制度，加强师生敏感信息保护</w:t>
      </w:r>
      <w:r>
        <w:rPr>
          <w:rFonts w:hint="eastAsia"/>
          <w:color w:val="auto"/>
          <w:spacing w:val="4"/>
        </w:rPr>
        <w:t>，</w:t>
      </w:r>
      <w:r>
        <w:rPr>
          <w:color w:val="auto"/>
          <w:spacing w:val="4"/>
        </w:rPr>
        <w:t>严禁非法处置师生个人信息。信息采集应严格遵守《中华人民共和国网络安全法》《中华人民共和国个人信息保护法》等法律法规，遵循合法正当等原则，严格限定在实现食堂管理与服务目的的最小范围，不得过度采集。</w:t>
      </w:r>
    </w:p>
    <w:p w14:paraId="24F4FF6B">
      <w:pPr>
        <w:spacing w:line="576" w:lineRule="exact"/>
        <w:ind w:firstLine="656" w:firstLineChars="200"/>
        <w:rPr>
          <w:color w:val="auto"/>
          <w:spacing w:val="4"/>
        </w:rPr>
      </w:pPr>
      <w:r>
        <w:rPr>
          <w:color w:val="auto"/>
          <w:spacing w:val="4"/>
        </w:rPr>
        <w:t>第四十</w:t>
      </w:r>
      <w:r>
        <w:rPr>
          <w:rFonts w:hint="eastAsia"/>
          <w:color w:val="auto"/>
          <w:spacing w:val="4"/>
        </w:rPr>
        <w:t>八</w:t>
      </w:r>
      <w:r>
        <w:rPr>
          <w:color w:val="auto"/>
          <w:spacing w:val="4"/>
        </w:rPr>
        <w:t>条  高校应落实立德树人根本任务，发挥食堂服务育人、劳动育人功能，持续完善协同育人机制。加强食堂文化建设，将节约粮食、反食品浪费融入文明校园建设，做好食品安全、营养健康科普宣传教育，将相关知识纳入新生入学教育内容，规范学生就餐行为，培养良好文明饮食习惯。将食堂纳入学校劳动教育实践基地，定期组织学生参与志愿服务、菜品制作等实践活动，培养劳动观念。</w:t>
      </w:r>
    </w:p>
    <w:p w14:paraId="0F767D0C">
      <w:pPr>
        <w:spacing w:line="576" w:lineRule="exact"/>
        <w:ind w:firstLine="656" w:firstLineChars="200"/>
        <w:rPr>
          <w:color w:val="auto"/>
          <w:spacing w:val="4"/>
        </w:rPr>
      </w:pPr>
      <w:r>
        <w:rPr>
          <w:color w:val="auto"/>
          <w:spacing w:val="4"/>
        </w:rPr>
        <w:t>第四十</w:t>
      </w:r>
      <w:r>
        <w:rPr>
          <w:rFonts w:hint="eastAsia"/>
          <w:color w:val="auto"/>
          <w:spacing w:val="4"/>
        </w:rPr>
        <w:t>九</w:t>
      </w:r>
      <w:r>
        <w:rPr>
          <w:color w:val="auto"/>
          <w:spacing w:val="4"/>
        </w:rPr>
        <w:t>条  鼓励高校集群区域建立食堂协同发展联盟，通过联合采购、人才共享、经验交流等方式降低运营成本、提升服务质量。推动高校与地方餐饮企业、职业院校合作，共同开展从业人员培训、菜品研发和技术创新。</w:t>
      </w:r>
      <w:r>
        <w:rPr>
          <w:rFonts w:hint="eastAsia"/>
          <w:color w:val="auto"/>
          <w:spacing w:val="4"/>
        </w:rPr>
        <w:t>鼓励有条件的高校</w:t>
      </w:r>
      <w:r>
        <w:rPr>
          <w:color w:val="auto"/>
          <w:spacing w:val="4"/>
        </w:rPr>
        <w:t>建立</w:t>
      </w:r>
      <w:r>
        <w:rPr>
          <w:rFonts w:hint="eastAsia"/>
          <w:color w:val="auto"/>
          <w:spacing w:val="4"/>
        </w:rPr>
        <w:t>食堂</w:t>
      </w:r>
      <w:r>
        <w:rPr>
          <w:color w:val="auto"/>
          <w:spacing w:val="4"/>
        </w:rPr>
        <w:t>高质量发展评价体系，定期开展评估，将评估结果与高校后勤工作考核、政策支持挂钩。</w:t>
      </w:r>
    </w:p>
    <w:p w14:paraId="1F94F835">
      <w:pPr>
        <w:spacing w:line="576" w:lineRule="exact"/>
        <w:jc w:val="center"/>
        <w:rPr>
          <w:rFonts w:eastAsia="微软雅黑"/>
          <w:color w:val="auto"/>
          <w:spacing w:val="4"/>
        </w:rPr>
      </w:pPr>
    </w:p>
    <w:p w14:paraId="2CC5ED66">
      <w:pPr>
        <w:spacing w:line="576" w:lineRule="exact"/>
        <w:jc w:val="center"/>
        <w:rPr>
          <w:rFonts w:ascii="黑体" w:hAnsi="黑体" w:eastAsia="黑体" w:cs="黑体"/>
          <w:color w:val="auto"/>
          <w:spacing w:val="4"/>
        </w:rPr>
      </w:pPr>
      <w:r>
        <w:rPr>
          <w:rFonts w:hint="eastAsia" w:ascii="黑体" w:hAnsi="黑体" w:eastAsia="黑体" w:cs="黑体"/>
          <w:color w:val="auto"/>
          <w:spacing w:val="4"/>
        </w:rPr>
        <w:t>第八章  监督管理</w:t>
      </w:r>
    </w:p>
    <w:p w14:paraId="1BD1AE01">
      <w:pPr>
        <w:spacing w:line="576" w:lineRule="exact"/>
        <w:ind w:firstLine="656" w:firstLineChars="200"/>
        <w:rPr>
          <w:color w:val="auto"/>
          <w:spacing w:val="4"/>
        </w:rPr>
      </w:pPr>
      <w:r>
        <w:rPr>
          <w:color w:val="auto"/>
          <w:spacing w:val="4"/>
        </w:rPr>
        <w:t>第</w:t>
      </w:r>
      <w:r>
        <w:rPr>
          <w:rFonts w:hint="eastAsia"/>
          <w:color w:val="auto"/>
          <w:spacing w:val="4"/>
        </w:rPr>
        <w:t>五十</w:t>
      </w:r>
      <w:r>
        <w:rPr>
          <w:color w:val="auto"/>
          <w:spacing w:val="4"/>
        </w:rPr>
        <w:t>条  高校应构建制度完备、流程闭环、责任清晰的食堂内部控制体系，围绕采购、财务、资产、人事等核心业务编制内控手册，开展内部控制自我评价和问题整改。</w:t>
      </w:r>
    </w:p>
    <w:p w14:paraId="0DC83F63">
      <w:pPr>
        <w:spacing w:line="576" w:lineRule="exact"/>
        <w:ind w:firstLine="656" w:firstLineChars="200"/>
        <w:rPr>
          <w:color w:val="auto"/>
          <w:spacing w:val="4"/>
        </w:rPr>
      </w:pPr>
      <w:r>
        <w:rPr>
          <w:color w:val="auto"/>
          <w:spacing w:val="4"/>
        </w:rPr>
        <w:t>第</w:t>
      </w:r>
      <w:r>
        <w:rPr>
          <w:rFonts w:hint="eastAsia"/>
          <w:color w:val="auto"/>
          <w:spacing w:val="4"/>
        </w:rPr>
        <w:t>五十一</w:t>
      </w:r>
      <w:r>
        <w:rPr>
          <w:color w:val="auto"/>
          <w:spacing w:val="4"/>
        </w:rPr>
        <w:t>条  高校应严格执行“三重一大”决策制度，对</w:t>
      </w:r>
      <w:r>
        <w:rPr>
          <w:rFonts w:hint="eastAsia"/>
          <w:color w:val="auto"/>
          <w:spacing w:val="4"/>
        </w:rPr>
        <w:t>食堂</w:t>
      </w:r>
      <w:r>
        <w:rPr>
          <w:color w:val="auto"/>
          <w:spacing w:val="4"/>
        </w:rPr>
        <w:t>办伙模式选择、年度预算安排、大宗物资采购、重大修缮改造、大型设备购置等事项实行集体研究，强化科学论证、合规审查与留档管理。前置开展安全、法律、财务、廉政四维风险评估，按要求公示公开。</w:t>
      </w:r>
    </w:p>
    <w:p w14:paraId="33163856">
      <w:pPr>
        <w:spacing w:line="576" w:lineRule="exact"/>
        <w:ind w:firstLine="656" w:firstLineChars="200"/>
        <w:rPr>
          <w:color w:val="auto"/>
          <w:spacing w:val="4"/>
        </w:rPr>
      </w:pPr>
      <w:r>
        <w:rPr>
          <w:color w:val="auto"/>
          <w:spacing w:val="4"/>
        </w:rPr>
        <w:t>第</w:t>
      </w:r>
      <w:r>
        <w:rPr>
          <w:rFonts w:hint="eastAsia"/>
          <w:color w:val="auto"/>
          <w:spacing w:val="4"/>
        </w:rPr>
        <w:t>五十二</w:t>
      </w:r>
      <w:r>
        <w:rPr>
          <w:color w:val="auto"/>
          <w:spacing w:val="4"/>
        </w:rPr>
        <w:t>条  高校应建立健全</w:t>
      </w:r>
      <w:r>
        <w:rPr>
          <w:color w:val="auto"/>
          <w:kern w:val="0"/>
        </w:rPr>
        <w:t>食堂人员岗位选聘、回避、定期轮换等制度，将人员岗位廉洁风险防控嵌入食堂运营管理全链条。</w:t>
      </w:r>
      <w:r>
        <w:rPr>
          <w:color w:val="auto"/>
        </w:rPr>
        <w:t>应加强</w:t>
      </w:r>
      <w:r>
        <w:rPr>
          <w:rFonts w:hint="eastAsia"/>
          <w:color w:val="auto"/>
        </w:rPr>
        <w:t>食堂</w:t>
      </w:r>
      <w:r>
        <w:rPr>
          <w:color w:val="auto"/>
        </w:rPr>
        <w:t>从业人员职业道德和廉政教育，将廉洁从业要求纳入岗前培训和年度考核内容。食堂管理人员</w:t>
      </w:r>
      <w:r>
        <w:rPr>
          <w:rFonts w:hint="eastAsia"/>
          <w:color w:val="auto"/>
        </w:rPr>
        <w:t>及</w:t>
      </w:r>
      <w:r>
        <w:rPr>
          <w:color w:val="auto"/>
        </w:rPr>
        <w:t>关键岗位（采购、验收、库管、财务</w:t>
      </w:r>
      <w:r>
        <w:rPr>
          <w:color w:val="auto"/>
          <w:kern w:val="0"/>
        </w:rPr>
        <w:t>、食堂经理</w:t>
      </w:r>
      <w:r>
        <w:rPr>
          <w:color w:val="auto"/>
        </w:rPr>
        <w:t>等</w:t>
      </w:r>
      <w:r>
        <w:rPr>
          <w:rFonts w:hint="eastAsia"/>
          <w:color w:val="auto"/>
          <w:lang w:eastAsia="zh-CN"/>
        </w:rPr>
        <w:t>，</w:t>
      </w:r>
      <w:r>
        <w:rPr>
          <w:rFonts w:hint="eastAsia"/>
          <w:color w:val="auto"/>
          <w:lang w:val="en-US" w:eastAsia="zh-CN"/>
        </w:rPr>
        <w:t>下同</w:t>
      </w:r>
      <w:r>
        <w:rPr>
          <w:color w:val="auto"/>
        </w:rPr>
        <w:t>）人员应定期接受食品安全法规和廉洁纪律培训，每半年至少参加一次</w:t>
      </w:r>
      <w:r>
        <w:rPr>
          <w:rFonts w:hint="eastAsia"/>
          <w:color w:val="auto"/>
        </w:rPr>
        <w:t>廉政</w:t>
      </w:r>
      <w:r>
        <w:rPr>
          <w:color w:val="auto"/>
        </w:rPr>
        <w:t>专题教育。</w:t>
      </w:r>
      <w:r>
        <w:rPr>
          <w:color w:val="auto"/>
          <w:kern w:val="0"/>
        </w:rPr>
        <w:t>不得将校级领导干部、民办学校举办者、后勤</w:t>
      </w:r>
      <w:r>
        <w:rPr>
          <w:rFonts w:hint="eastAsia"/>
          <w:color w:val="auto"/>
          <w:kern w:val="0"/>
        </w:rPr>
        <w:t>部门负责人等人员的</w:t>
      </w:r>
      <w:r>
        <w:rPr>
          <w:color w:val="auto"/>
          <w:kern w:val="0"/>
        </w:rPr>
        <w:t>直系亲属安排在</w:t>
      </w:r>
      <w:r>
        <w:rPr>
          <w:rFonts w:hint="eastAsia"/>
          <w:color w:val="auto"/>
          <w:kern w:val="0"/>
        </w:rPr>
        <w:t>食堂运营</w:t>
      </w:r>
      <w:r>
        <w:rPr>
          <w:color w:val="auto"/>
          <w:kern w:val="0"/>
        </w:rPr>
        <w:t>关键岗位</w:t>
      </w:r>
      <w:r>
        <w:rPr>
          <w:color w:val="auto"/>
          <w:spacing w:val="4"/>
        </w:rPr>
        <w:t>。</w:t>
      </w:r>
    </w:p>
    <w:p w14:paraId="168648FD">
      <w:pPr>
        <w:spacing w:line="576" w:lineRule="exact"/>
        <w:ind w:firstLine="656" w:firstLineChars="200"/>
        <w:rPr>
          <w:color w:val="auto"/>
          <w:spacing w:val="4"/>
        </w:rPr>
      </w:pPr>
      <w:r>
        <w:rPr>
          <w:color w:val="auto"/>
          <w:spacing w:val="4"/>
        </w:rPr>
        <w:t>第</w:t>
      </w:r>
      <w:r>
        <w:rPr>
          <w:rFonts w:hint="eastAsia"/>
          <w:color w:val="auto"/>
          <w:spacing w:val="4"/>
        </w:rPr>
        <w:t>五十三</w:t>
      </w:r>
      <w:r>
        <w:rPr>
          <w:color w:val="auto"/>
          <w:spacing w:val="4"/>
        </w:rPr>
        <w:t>条  高校应建立</w:t>
      </w:r>
      <w:r>
        <w:rPr>
          <w:rFonts w:hint="eastAsia"/>
          <w:color w:val="auto"/>
          <w:spacing w:val="4"/>
        </w:rPr>
        <w:t>食堂</w:t>
      </w:r>
      <w:r>
        <w:rPr>
          <w:color w:val="auto"/>
          <w:spacing w:val="4"/>
        </w:rPr>
        <w:t>民主监督机制，充分发挥学校工会和学生会、团委会等社团组织的作用，建立网络、信箱、电话等投诉举报途径，畅通民主沟通渠道，探索学生参与食堂民主管理的有效路径。</w:t>
      </w:r>
      <w:r>
        <w:rPr>
          <w:rFonts w:hint="eastAsia"/>
          <w:color w:val="auto"/>
          <w:spacing w:val="4"/>
        </w:rPr>
        <w:t>完善投诉举报处置制度，及时解决师生合理诉求，化解矛盾隐患。</w:t>
      </w:r>
    </w:p>
    <w:p w14:paraId="6F4EA740">
      <w:pPr>
        <w:spacing w:line="576" w:lineRule="exact"/>
        <w:ind w:firstLine="656" w:firstLineChars="200"/>
        <w:rPr>
          <w:color w:val="auto"/>
          <w:spacing w:val="4"/>
        </w:rPr>
      </w:pPr>
      <w:r>
        <w:rPr>
          <w:color w:val="auto"/>
          <w:spacing w:val="4"/>
        </w:rPr>
        <w:t>第</w:t>
      </w:r>
      <w:r>
        <w:rPr>
          <w:rFonts w:hint="eastAsia"/>
          <w:color w:val="auto"/>
          <w:spacing w:val="4"/>
        </w:rPr>
        <w:t>五十四</w:t>
      </w:r>
      <w:r>
        <w:rPr>
          <w:color w:val="auto"/>
          <w:spacing w:val="4"/>
        </w:rPr>
        <w:t>条  高校应构建由日常自查、专项检查、审计监督、纪检监察和社会监督组成的全方位监督体系，对安全保供、经费资产、物资采购、服务质量等重点环节严格监管。</w:t>
      </w:r>
    </w:p>
    <w:p w14:paraId="1749A0FC">
      <w:pPr>
        <w:spacing w:line="576" w:lineRule="exact"/>
        <w:ind w:firstLine="656" w:firstLineChars="200"/>
        <w:rPr>
          <w:color w:val="auto"/>
          <w:spacing w:val="4"/>
        </w:rPr>
      </w:pPr>
      <w:r>
        <w:rPr>
          <w:color w:val="auto"/>
          <w:spacing w:val="4"/>
        </w:rPr>
        <w:t>第</w:t>
      </w:r>
      <w:r>
        <w:rPr>
          <w:rFonts w:hint="eastAsia"/>
          <w:color w:val="auto"/>
          <w:spacing w:val="4"/>
        </w:rPr>
        <w:t>五十五</w:t>
      </w:r>
      <w:r>
        <w:rPr>
          <w:color w:val="auto"/>
          <w:spacing w:val="4"/>
        </w:rPr>
        <w:t>条  高校应建立健全</w:t>
      </w:r>
      <w:r>
        <w:rPr>
          <w:rFonts w:hint="eastAsia"/>
          <w:color w:val="auto"/>
          <w:spacing w:val="4"/>
        </w:rPr>
        <w:t>食堂</w:t>
      </w:r>
      <w:r>
        <w:rPr>
          <w:color w:val="auto"/>
          <w:spacing w:val="4"/>
        </w:rPr>
        <w:t>管理责任追究制度，对制度不健全或有章不循、玩忽职守、疏于管理等造成责任事故的，依法追究相关责任人责任。</w:t>
      </w:r>
    </w:p>
    <w:p w14:paraId="7B140E80">
      <w:pPr>
        <w:spacing w:line="576" w:lineRule="exact"/>
        <w:jc w:val="center"/>
        <w:rPr>
          <w:rFonts w:eastAsia="微软雅黑"/>
          <w:color w:val="auto"/>
          <w:spacing w:val="4"/>
        </w:rPr>
      </w:pPr>
    </w:p>
    <w:p w14:paraId="234E1C87">
      <w:pPr>
        <w:spacing w:line="576" w:lineRule="exact"/>
        <w:jc w:val="center"/>
        <w:rPr>
          <w:rFonts w:ascii="黑体" w:hAnsi="黑体" w:eastAsia="黑体" w:cs="黑体"/>
          <w:color w:val="auto"/>
          <w:spacing w:val="4"/>
        </w:rPr>
      </w:pPr>
      <w:r>
        <w:rPr>
          <w:rFonts w:hint="eastAsia" w:ascii="黑体" w:hAnsi="黑体" w:eastAsia="黑体" w:cs="黑体"/>
          <w:color w:val="auto"/>
          <w:spacing w:val="4"/>
        </w:rPr>
        <w:t>第九章  附则</w:t>
      </w:r>
    </w:p>
    <w:p w14:paraId="370B5C45">
      <w:pPr>
        <w:spacing w:line="576" w:lineRule="exact"/>
        <w:ind w:firstLine="656" w:firstLineChars="200"/>
        <w:rPr>
          <w:color w:val="auto"/>
          <w:spacing w:val="4"/>
        </w:rPr>
      </w:pPr>
      <w:r>
        <w:rPr>
          <w:rFonts w:hint="eastAsia"/>
          <w:color w:val="auto"/>
          <w:spacing w:val="4"/>
        </w:rPr>
        <w:t>第五十六条  本办法下列用语的含义：</w:t>
      </w:r>
    </w:p>
    <w:p w14:paraId="5869DDF4">
      <w:pPr>
        <w:spacing w:line="576" w:lineRule="exact"/>
        <w:ind w:firstLine="656" w:firstLineChars="200"/>
        <w:rPr>
          <w:color w:val="auto"/>
          <w:spacing w:val="4"/>
        </w:rPr>
      </w:pPr>
      <w:r>
        <w:rPr>
          <w:rFonts w:hint="eastAsia"/>
          <w:color w:val="auto"/>
          <w:spacing w:val="4"/>
        </w:rPr>
        <w:t>学生食堂</w:t>
      </w:r>
      <w:r>
        <w:rPr>
          <w:color w:val="auto"/>
          <w:spacing w:val="4"/>
        </w:rPr>
        <w:t>，指高校为学生提供就餐服务，具有相对独立的原料存放、食品加工制作、食品供应及就餐空间的</w:t>
      </w:r>
      <w:r>
        <w:rPr>
          <w:rFonts w:hint="eastAsia"/>
          <w:color w:val="auto"/>
          <w:spacing w:val="4"/>
        </w:rPr>
        <w:t>场所</w:t>
      </w:r>
      <w:r>
        <w:rPr>
          <w:color w:val="auto"/>
          <w:spacing w:val="4"/>
        </w:rPr>
        <w:t>。</w:t>
      </w:r>
    </w:p>
    <w:p w14:paraId="23BD559A">
      <w:pPr>
        <w:spacing w:line="576" w:lineRule="exact"/>
        <w:ind w:firstLine="656" w:firstLineChars="200"/>
        <w:rPr>
          <w:color w:val="auto"/>
          <w:spacing w:val="4"/>
        </w:rPr>
      </w:pPr>
      <w:r>
        <w:rPr>
          <w:color w:val="auto"/>
          <w:spacing w:val="4"/>
        </w:rPr>
        <w:t>基本大伙，指高校为全面落实食堂公益性运营原则，为学生提供满足基本营养需求和平价餐食的供餐形式。</w:t>
      </w:r>
    </w:p>
    <w:p w14:paraId="41AE578B">
      <w:pPr>
        <w:spacing w:line="576" w:lineRule="exact"/>
        <w:ind w:firstLine="656" w:firstLineChars="200"/>
        <w:rPr>
          <w:color w:val="auto"/>
          <w:spacing w:val="4"/>
        </w:rPr>
      </w:pPr>
      <w:r>
        <w:rPr>
          <w:rFonts w:hint="eastAsia"/>
          <w:color w:val="auto"/>
          <w:spacing w:val="4"/>
        </w:rPr>
        <w:t>特色档口，指高校为满足学生个性化餐饮需求，在菜品种类、饭菜口味、制作方式等方面向学生提供不同于基本大伙餐食的供餐形式。</w:t>
      </w:r>
    </w:p>
    <w:p w14:paraId="62730279">
      <w:pPr>
        <w:spacing w:line="576" w:lineRule="exact"/>
        <w:ind w:firstLine="656" w:firstLineChars="200"/>
        <w:rPr>
          <w:color w:val="auto"/>
          <w:spacing w:val="4"/>
        </w:rPr>
      </w:pPr>
      <w:r>
        <w:rPr>
          <w:rFonts w:hint="eastAsia"/>
          <w:color w:val="auto"/>
          <w:spacing w:val="4"/>
        </w:rPr>
        <w:t>自主经营，指通过学校自办、委托校办后勤公司管理或引入专业技术团队提供劳务及技术支持等方式运营食堂，并由学校组织开展大宗物资采购、进行成本核算和菜品质价控制，食堂账务纳入学校大账专项核算，确保学校在全过程中的主导地位和管理责任。</w:t>
      </w:r>
    </w:p>
    <w:p w14:paraId="745D1C9B">
      <w:pPr>
        <w:spacing w:line="576" w:lineRule="exact"/>
        <w:ind w:firstLine="656" w:firstLineChars="200"/>
        <w:rPr>
          <w:color w:val="auto"/>
          <w:spacing w:val="4"/>
        </w:rPr>
      </w:pPr>
      <w:r>
        <w:rPr>
          <w:color w:val="auto"/>
          <w:spacing w:val="4"/>
        </w:rPr>
        <w:t>第</w:t>
      </w:r>
      <w:r>
        <w:rPr>
          <w:rFonts w:hint="eastAsia"/>
          <w:color w:val="auto"/>
          <w:spacing w:val="4"/>
        </w:rPr>
        <w:t>五十七</w:t>
      </w:r>
      <w:r>
        <w:rPr>
          <w:color w:val="auto"/>
          <w:spacing w:val="4"/>
        </w:rPr>
        <w:t>条  本办法由四川省教育厅负责解释。</w:t>
      </w:r>
    </w:p>
    <w:p w14:paraId="5FA6623C">
      <w:pPr>
        <w:spacing w:line="576" w:lineRule="exact"/>
        <w:ind w:firstLine="656" w:firstLineChars="200"/>
        <w:rPr>
          <w:bCs/>
          <w:snapToGrid w:val="0"/>
          <w:color w:val="auto"/>
          <w:kern w:val="0"/>
          <w:sz w:val="2"/>
          <w:szCs w:val="2"/>
        </w:rPr>
      </w:pPr>
      <w:r>
        <w:rPr>
          <w:color w:val="auto"/>
          <w:spacing w:val="4"/>
        </w:rPr>
        <w:t>第五十</w:t>
      </w:r>
      <w:r>
        <w:rPr>
          <w:rFonts w:hint="eastAsia"/>
          <w:color w:val="auto"/>
          <w:spacing w:val="4"/>
        </w:rPr>
        <w:t>八</w:t>
      </w:r>
      <w:r>
        <w:rPr>
          <w:color w:val="auto"/>
          <w:spacing w:val="4"/>
        </w:rPr>
        <w:t>条  本办法自2026年</w:t>
      </w:r>
      <w:r>
        <w:rPr>
          <w:rFonts w:hint="eastAsia"/>
          <w:color w:val="auto"/>
          <w:spacing w:val="4"/>
          <w:lang w:val="en-US" w:eastAsia="zh-CN"/>
        </w:rPr>
        <w:t>10</w:t>
      </w:r>
      <w:r>
        <w:rPr>
          <w:color w:val="auto"/>
          <w:spacing w:val="4"/>
        </w:rPr>
        <w:t>月</w:t>
      </w:r>
      <w:r>
        <w:rPr>
          <w:rFonts w:hint="eastAsia"/>
          <w:color w:val="auto"/>
          <w:spacing w:val="4"/>
          <w:lang w:val="en-US" w:eastAsia="zh-CN"/>
        </w:rPr>
        <w:t>18</w:t>
      </w:r>
      <w:r>
        <w:rPr>
          <w:color w:val="auto"/>
          <w:spacing w:val="4"/>
        </w:rPr>
        <w:t>日起</w:t>
      </w:r>
      <w:r>
        <w:rPr>
          <w:rFonts w:hint="eastAsia"/>
          <w:color w:val="auto"/>
          <w:spacing w:val="4"/>
          <w:lang w:val="en-US" w:eastAsia="zh-CN"/>
        </w:rPr>
        <w:t>施行</w:t>
      </w:r>
      <w:r>
        <w:rPr>
          <w:color w:val="auto"/>
          <w:spacing w:val="4"/>
        </w:rPr>
        <w:t>，有效期</w:t>
      </w:r>
      <w:r>
        <w:rPr>
          <w:rFonts w:hint="eastAsia"/>
          <w:color w:val="auto"/>
          <w:spacing w:val="4"/>
          <w:lang w:val="en-US" w:eastAsia="zh-CN"/>
        </w:rPr>
        <w:t>5</w:t>
      </w:r>
      <w:r>
        <w:rPr>
          <w:color w:val="auto"/>
          <w:spacing w:val="4"/>
        </w:rPr>
        <w:t>年，原《四川省高等学校</w:t>
      </w:r>
      <w:r>
        <w:rPr>
          <w:rFonts w:hint="eastAsia"/>
          <w:color w:val="auto"/>
          <w:spacing w:val="4"/>
        </w:rPr>
        <w:t>学生食堂</w:t>
      </w:r>
      <w:r>
        <w:rPr>
          <w:color w:val="auto"/>
          <w:spacing w:val="4"/>
        </w:rPr>
        <w:t>管理办法》（川教〔2021〕</w:t>
      </w:r>
      <w:r>
        <w:rPr>
          <w:rFonts w:eastAsia="仿宋"/>
          <w:color w:val="auto"/>
          <w:spacing w:val="4"/>
        </w:rPr>
        <w:t>96号</w:t>
      </w:r>
      <w:r>
        <w:rPr>
          <w:color w:val="auto"/>
          <w:spacing w:val="4"/>
        </w:rPr>
        <w:t>）同时废止。</w:t>
      </w:r>
    </w:p>
    <w:sectPr>
      <w:pgSz w:w="11906" w:h="16838"/>
      <w:pgMar w:top="2098" w:right="1531" w:bottom="1985" w:left="1531" w:header="1701" w:footer="1588" w:gutter="0"/>
      <w:cols w:space="1701"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D6967A-57B9-4435-A7E3-A6D8F74086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4A6345C-66E8-4E83-805B-A0CD0154AD86}"/>
  </w:font>
  <w:font w:name="仿宋_GB2312">
    <w:panose1 w:val="02010609030101010101"/>
    <w:charset w:val="86"/>
    <w:family w:val="modern"/>
    <w:pitch w:val="default"/>
    <w:sig w:usb0="00000001" w:usb1="080E0000" w:usb2="00000000" w:usb3="00000000" w:csb0="00040000" w:csb1="00000000"/>
    <w:embedRegular r:id="rId3" w:fontKey="{18BFAE75-918D-486B-8364-D609B2267195}"/>
  </w:font>
  <w:font w:name="仿宋">
    <w:panose1 w:val="02010609060101010101"/>
    <w:charset w:val="86"/>
    <w:family w:val="modern"/>
    <w:pitch w:val="default"/>
    <w:sig w:usb0="800002BF" w:usb1="38CF7CFA" w:usb2="00000016" w:usb3="00000000" w:csb0="00040001" w:csb1="00000000"/>
    <w:embedRegular r:id="rId4" w:fontKey="{B5F2A1ED-E6A3-4DBB-950E-00C04BDC8CAE}"/>
  </w:font>
  <w:font w:name="方正小标宋简体">
    <w:panose1 w:val="03000509000000000000"/>
    <w:charset w:val="86"/>
    <w:family w:val="script"/>
    <w:pitch w:val="default"/>
    <w:sig w:usb0="00000001" w:usb1="080E0000" w:usb2="00000000" w:usb3="00000000" w:csb0="00040000" w:csb1="00000000"/>
    <w:embedRegular r:id="rId5" w:fontKey="{2AFDD445-C0C5-4FBF-A9D1-733148FD878C}"/>
  </w:font>
  <w:font w:name="方正楷体_GB2312">
    <w:altName w:val="楷体_GB2312"/>
    <w:panose1 w:val="00000000000000000000"/>
    <w:charset w:val="00"/>
    <w:family w:val="auto"/>
    <w:pitch w:val="default"/>
    <w:sig w:usb0="00000000" w:usb1="00000000" w:usb2="00000000" w:usb3="00000000" w:csb0="00000000" w:csb1="00000000"/>
    <w:embedRegular r:id="rId6" w:fontKey="{1A544FC4-CBC2-4EFC-B2B1-DE386103D40E}"/>
  </w:font>
  <w:font w:name="楷体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embedRegular r:id="rId7" w:fontKey="{7199F9A6-96B0-4628-95FF-5D1A68322819}"/>
  </w:font>
  <w:font w:name="微软雅黑">
    <w:panose1 w:val="020B0503020204020204"/>
    <w:charset w:val="86"/>
    <w:family w:val="swiss"/>
    <w:pitch w:val="default"/>
    <w:sig w:usb0="80000287" w:usb1="2ACF3C50" w:usb2="00000016" w:usb3="00000000" w:csb0="0004001F" w:csb1="00000000"/>
    <w:embedRegular r:id="rId8" w:fontKey="{958CCFF5-DA1E-442B-8274-A604225BC5F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8F252">
    <w:pPr>
      <w:pStyle w:val="190"/>
      <w:framePr w:wrap="around" w:vAnchor="text" w:hAnchor="margin" w:xAlign="outside" w:y="1"/>
      <w:ind w:right="320" w:rightChars="100"/>
      <w:rPr>
        <w:rStyle w:val="196"/>
        <w:rFonts w:ascii="宋体" w:hAnsi="宋体" w:eastAsia="宋体"/>
        <w:sz w:val="28"/>
        <w:szCs w:val="28"/>
      </w:rPr>
    </w:pPr>
    <w:r>
      <w:rPr>
        <w:rStyle w:val="196"/>
        <w:rFonts w:hint="eastAsia" w:ascii="宋体" w:hAnsi="宋体" w:eastAsia="宋体"/>
        <w:sz w:val="28"/>
        <w:szCs w:val="28"/>
      </w:rPr>
      <w:t xml:space="preserve">— </w:t>
    </w:r>
    <w:r>
      <w:rPr>
        <w:rStyle w:val="196"/>
        <w:rFonts w:ascii="宋体" w:hAnsi="宋体" w:eastAsia="宋体"/>
        <w:sz w:val="28"/>
        <w:szCs w:val="28"/>
      </w:rPr>
      <w:fldChar w:fldCharType="begin"/>
    </w:r>
    <w:r>
      <w:rPr>
        <w:rStyle w:val="196"/>
        <w:rFonts w:ascii="宋体" w:hAnsi="宋体" w:eastAsia="宋体"/>
        <w:sz w:val="28"/>
        <w:szCs w:val="28"/>
      </w:rPr>
      <w:instrText xml:space="preserve">PAGE  </w:instrText>
    </w:r>
    <w:r>
      <w:rPr>
        <w:rStyle w:val="196"/>
        <w:rFonts w:ascii="宋体" w:hAnsi="宋体" w:eastAsia="宋体"/>
        <w:sz w:val="28"/>
        <w:szCs w:val="28"/>
      </w:rPr>
      <w:fldChar w:fldCharType="separate"/>
    </w:r>
    <w:r>
      <w:rPr>
        <w:rStyle w:val="196"/>
        <w:rFonts w:ascii="宋体" w:hAnsi="宋体" w:eastAsia="宋体"/>
        <w:sz w:val="28"/>
        <w:szCs w:val="28"/>
      </w:rPr>
      <w:t>1</w:t>
    </w:r>
    <w:r>
      <w:rPr>
        <w:rStyle w:val="196"/>
        <w:rFonts w:ascii="宋体" w:hAnsi="宋体" w:eastAsia="宋体"/>
        <w:sz w:val="28"/>
        <w:szCs w:val="28"/>
      </w:rPr>
      <w:fldChar w:fldCharType="end"/>
    </w:r>
    <w:r>
      <w:rPr>
        <w:rStyle w:val="196"/>
        <w:rFonts w:hint="eastAsia" w:ascii="宋体" w:hAnsi="宋体" w:eastAsia="宋体"/>
        <w:sz w:val="28"/>
        <w:szCs w:val="28"/>
      </w:rPr>
      <w:t xml:space="preserve"> —</w:t>
    </w:r>
  </w:p>
  <w:p w14:paraId="47ABA3DB">
    <w:pPr>
      <w:pStyle w:val="190"/>
      <w:ind w:right="567" w:firstLine="35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CF81D">
    <w:pPr>
      <w:pStyle w:val="190"/>
      <w:framePr w:wrap="around" w:vAnchor="text" w:hAnchor="margin" w:xAlign="outside" w:y="1"/>
      <w:ind w:left="320" w:leftChars="100"/>
      <w:rPr>
        <w:rStyle w:val="196"/>
        <w:rFonts w:ascii="宋体" w:hAnsi="宋体" w:eastAsia="宋体"/>
        <w:sz w:val="28"/>
        <w:szCs w:val="28"/>
      </w:rPr>
    </w:pPr>
    <w:r>
      <w:rPr>
        <w:rStyle w:val="196"/>
        <w:rFonts w:hint="eastAsia" w:ascii="宋体" w:hAnsi="宋体" w:eastAsia="宋体"/>
        <w:sz w:val="28"/>
        <w:szCs w:val="28"/>
      </w:rPr>
      <w:t xml:space="preserve">— </w:t>
    </w:r>
    <w:r>
      <w:rPr>
        <w:rStyle w:val="196"/>
        <w:rFonts w:ascii="宋体" w:hAnsi="宋体" w:eastAsia="宋体"/>
        <w:sz w:val="28"/>
        <w:szCs w:val="28"/>
      </w:rPr>
      <w:fldChar w:fldCharType="begin"/>
    </w:r>
    <w:r>
      <w:rPr>
        <w:rStyle w:val="196"/>
        <w:rFonts w:ascii="宋体" w:hAnsi="宋体" w:eastAsia="宋体"/>
        <w:sz w:val="28"/>
        <w:szCs w:val="28"/>
      </w:rPr>
      <w:instrText xml:space="preserve">PAGE  </w:instrText>
    </w:r>
    <w:r>
      <w:rPr>
        <w:rStyle w:val="196"/>
        <w:rFonts w:ascii="宋体" w:hAnsi="宋体" w:eastAsia="宋体"/>
        <w:sz w:val="28"/>
        <w:szCs w:val="28"/>
      </w:rPr>
      <w:fldChar w:fldCharType="separate"/>
    </w:r>
    <w:r>
      <w:rPr>
        <w:rStyle w:val="196"/>
        <w:rFonts w:ascii="宋体" w:hAnsi="宋体" w:eastAsia="宋体"/>
        <w:sz w:val="28"/>
        <w:szCs w:val="28"/>
      </w:rPr>
      <w:t>2</w:t>
    </w:r>
    <w:r>
      <w:rPr>
        <w:rStyle w:val="196"/>
        <w:rFonts w:ascii="宋体" w:hAnsi="宋体" w:eastAsia="宋体"/>
        <w:sz w:val="28"/>
        <w:szCs w:val="28"/>
      </w:rPr>
      <w:fldChar w:fldCharType="end"/>
    </w:r>
    <w:r>
      <w:rPr>
        <w:rStyle w:val="196"/>
        <w:rFonts w:hint="eastAsia" w:ascii="宋体" w:hAnsi="宋体" w:eastAsia="宋体"/>
        <w:sz w:val="28"/>
        <w:szCs w:val="28"/>
      </w:rPr>
      <w:t xml:space="preserve"> —</w:t>
    </w:r>
  </w:p>
  <w:p w14:paraId="350788EE">
    <w:pPr>
      <w:pStyle w:val="190"/>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evenAndOddHeaders w:val="1"/>
  <w:drawingGridHorizontalSpacing w:val="0"/>
  <w:drawingGridVerticalSpacing w:val="312"/>
  <w:displayHorizontalDrawingGridEvery w:val="0"/>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014"/>
    <w:rsid w:val="00346928"/>
    <w:rsid w:val="003544FC"/>
    <w:rsid w:val="004A499C"/>
    <w:rsid w:val="005E5014"/>
    <w:rsid w:val="0061470D"/>
    <w:rsid w:val="00975459"/>
    <w:rsid w:val="00B6416F"/>
    <w:rsid w:val="00D96D66"/>
    <w:rsid w:val="00DB0F14"/>
    <w:rsid w:val="00E216DD"/>
    <w:rsid w:val="01EA3962"/>
    <w:rsid w:val="05DD74C0"/>
    <w:rsid w:val="08EF7676"/>
    <w:rsid w:val="0D205DEA"/>
    <w:rsid w:val="0F3D38EF"/>
    <w:rsid w:val="107B18AA"/>
    <w:rsid w:val="13E64BE3"/>
    <w:rsid w:val="14FD5F5C"/>
    <w:rsid w:val="15232E3B"/>
    <w:rsid w:val="166E4876"/>
    <w:rsid w:val="193463F1"/>
    <w:rsid w:val="1D715330"/>
    <w:rsid w:val="1F6F14DC"/>
    <w:rsid w:val="20086F85"/>
    <w:rsid w:val="203E7571"/>
    <w:rsid w:val="242742BD"/>
    <w:rsid w:val="29AA70BF"/>
    <w:rsid w:val="2D7534FD"/>
    <w:rsid w:val="2FE143F8"/>
    <w:rsid w:val="2FEE1F30"/>
    <w:rsid w:val="34BD2208"/>
    <w:rsid w:val="37990BFB"/>
    <w:rsid w:val="405662A4"/>
    <w:rsid w:val="417D6C5D"/>
    <w:rsid w:val="431E7646"/>
    <w:rsid w:val="435D6846"/>
    <w:rsid w:val="446479D4"/>
    <w:rsid w:val="448D3AEE"/>
    <w:rsid w:val="44DC11D4"/>
    <w:rsid w:val="44E03674"/>
    <w:rsid w:val="466C5ACE"/>
    <w:rsid w:val="567535C9"/>
    <w:rsid w:val="56F50266"/>
    <w:rsid w:val="58BB2B50"/>
    <w:rsid w:val="58D626B1"/>
    <w:rsid w:val="5D6A6066"/>
    <w:rsid w:val="5E0A74D1"/>
    <w:rsid w:val="5EEB45A9"/>
    <w:rsid w:val="60B349C5"/>
    <w:rsid w:val="64D43BB1"/>
    <w:rsid w:val="65A11BF2"/>
    <w:rsid w:val="6956011F"/>
    <w:rsid w:val="6B2D21E8"/>
    <w:rsid w:val="6D635FC5"/>
    <w:rsid w:val="706E6225"/>
    <w:rsid w:val="7199397F"/>
    <w:rsid w:val="71E1624B"/>
    <w:rsid w:val="72C768FD"/>
    <w:rsid w:val="79432BA8"/>
    <w:rsid w:val="7B8F2780"/>
    <w:rsid w:val="7DB23710"/>
    <w:rsid w:val="7EFF18E7"/>
    <w:rsid w:val="FFDFC9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仿宋_GB2312"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3">
    <w:name w:val="heading 1"/>
    <w:basedOn w:val="1"/>
    <w:next w:val="1"/>
    <w:link w:val="36"/>
    <w:qFormat/>
    <w:uiPriority w:val="9"/>
    <w:pPr>
      <w:keepNext/>
      <w:keepLines/>
      <w:spacing w:before="480" w:after="200"/>
      <w:outlineLvl w:val="0"/>
    </w:pPr>
    <w:rPr>
      <w:rFonts w:ascii="Arial" w:hAnsi="Arial" w:eastAsia="Arial" w:cs="Arial"/>
      <w:sz w:val="40"/>
      <w:szCs w:val="40"/>
    </w:rPr>
  </w:style>
  <w:style w:type="paragraph" w:styleId="4">
    <w:name w:val="heading 2"/>
    <w:basedOn w:val="1"/>
    <w:next w:val="1"/>
    <w:link w:val="37"/>
    <w:unhideWhenUsed/>
    <w:qFormat/>
    <w:uiPriority w:val="9"/>
    <w:pPr>
      <w:keepNext/>
      <w:keepLines/>
      <w:spacing w:before="360" w:after="200"/>
      <w:outlineLvl w:val="1"/>
    </w:pPr>
    <w:rPr>
      <w:rFonts w:ascii="Arial" w:hAnsi="Arial" w:eastAsia="Arial" w:cs="Arial"/>
      <w:sz w:val="34"/>
    </w:rPr>
  </w:style>
  <w:style w:type="paragraph" w:styleId="5">
    <w:name w:val="heading 3"/>
    <w:basedOn w:val="1"/>
    <w:next w:val="1"/>
    <w:link w:val="38"/>
    <w:unhideWhenUsed/>
    <w:qFormat/>
    <w:uiPriority w:val="9"/>
    <w:pPr>
      <w:keepNext/>
      <w:keepLines/>
      <w:spacing w:before="320" w:after="200"/>
      <w:outlineLvl w:val="2"/>
    </w:pPr>
    <w:rPr>
      <w:rFonts w:ascii="Arial" w:hAnsi="Arial" w:eastAsia="Arial" w:cs="Arial"/>
      <w:sz w:val="30"/>
      <w:szCs w:val="30"/>
    </w:rPr>
  </w:style>
  <w:style w:type="paragraph" w:styleId="6">
    <w:name w:val="heading 4"/>
    <w:basedOn w:val="1"/>
    <w:next w:val="1"/>
    <w:link w:val="39"/>
    <w:unhideWhenUsed/>
    <w:qFormat/>
    <w:uiPriority w:val="9"/>
    <w:pPr>
      <w:keepNext/>
      <w:keepLines/>
      <w:spacing w:before="320" w:after="200"/>
      <w:outlineLvl w:val="3"/>
    </w:pPr>
    <w:rPr>
      <w:rFonts w:ascii="Arial" w:hAnsi="Arial" w:eastAsia="Arial" w:cs="Arial"/>
      <w:b/>
      <w:bCs/>
      <w:sz w:val="26"/>
      <w:szCs w:val="26"/>
    </w:rPr>
  </w:style>
  <w:style w:type="paragraph" w:styleId="7">
    <w:name w:val="heading 5"/>
    <w:basedOn w:val="1"/>
    <w:next w:val="1"/>
    <w:link w:val="40"/>
    <w:unhideWhenUsed/>
    <w:qFormat/>
    <w:uiPriority w:val="9"/>
    <w:pPr>
      <w:keepNext/>
      <w:keepLines/>
      <w:spacing w:before="320" w:after="200"/>
      <w:outlineLvl w:val="4"/>
    </w:pPr>
    <w:rPr>
      <w:rFonts w:ascii="Arial" w:hAnsi="Arial" w:eastAsia="Arial" w:cs="Arial"/>
      <w:b/>
      <w:bCs/>
      <w:sz w:val="24"/>
      <w:szCs w:val="24"/>
    </w:rPr>
  </w:style>
  <w:style w:type="paragraph" w:styleId="8">
    <w:name w:val="heading 6"/>
    <w:basedOn w:val="1"/>
    <w:next w:val="1"/>
    <w:link w:val="41"/>
    <w:unhideWhenUsed/>
    <w:qFormat/>
    <w:uiPriority w:val="9"/>
    <w:pPr>
      <w:keepNext/>
      <w:keepLines/>
      <w:spacing w:before="320" w:after="200"/>
      <w:outlineLvl w:val="5"/>
    </w:pPr>
    <w:rPr>
      <w:rFonts w:ascii="Arial" w:hAnsi="Arial" w:eastAsia="Arial" w:cs="Arial"/>
      <w:b/>
      <w:bCs/>
      <w:sz w:val="22"/>
      <w:szCs w:val="22"/>
    </w:rPr>
  </w:style>
  <w:style w:type="paragraph" w:styleId="9">
    <w:name w:val="heading 7"/>
    <w:basedOn w:val="1"/>
    <w:next w:val="1"/>
    <w:link w:val="42"/>
    <w:unhideWhenUsed/>
    <w:qFormat/>
    <w:uiPriority w:val="9"/>
    <w:pPr>
      <w:keepNext/>
      <w:keepLines/>
      <w:spacing w:before="320" w:after="200"/>
      <w:outlineLvl w:val="6"/>
    </w:pPr>
    <w:rPr>
      <w:rFonts w:ascii="Arial" w:hAnsi="Arial" w:eastAsia="Arial" w:cs="Arial"/>
      <w:b/>
      <w:bCs/>
      <w:i/>
      <w:iCs/>
      <w:sz w:val="22"/>
      <w:szCs w:val="22"/>
    </w:rPr>
  </w:style>
  <w:style w:type="paragraph" w:styleId="10">
    <w:name w:val="heading 8"/>
    <w:basedOn w:val="1"/>
    <w:next w:val="1"/>
    <w:link w:val="43"/>
    <w:unhideWhenUsed/>
    <w:qFormat/>
    <w:uiPriority w:val="9"/>
    <w:pPr>
      <w:keepNext/>
      <w:keepLines/>
      <w:spacing w:before="320" w:after="200"/>
      <w:outlineLvl w:val="7"/>
    </w:pPr>
    <w:rPr>
      <w:rFonts w:ascii="Arial" w:hAnsi="Arial" w:eastAsia="Arial" w:cs="Arial"/>
      <w:i/>
      <w:iCs/>
      <w:sz w:val="22"/>
      <w:szCs w:val="22"/>
    </w:rPr>
  </w:style>
  <w:style w:type="paragraph" w:styleId="11">
    <w:name w:val="heading 9"/>
    <w:basedOn w:val="1"/>
    <w:next w:val="1"/>
    <w:link w:val="44"/>
    <w:unhideWhenUsed/>
    <w:qFormat/>
    <w:uiPriority w:val="9"/>
    <w:pPr>
      <w:keepNext/>
      <w:keepLines/>
      <w:spacing w:before="320" w:after="200"/>
      <w:outlineLvl w:val="8"/>
    </w:pPr>
    <w:rPr>
      <w:rFonts w:ascii="Arial" w:hAnsi="Arial" w:eastAsia="Arial" w:cs="Arial"/>
      <w:i/>
      <w:iCs/>
      <w:sz w:val="21"/>
      <w:szCs w:val="21"/>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正文文本1"/>
    <w:basedOn w:val="1"/>
    <w:qFormat/>
    <w:uiPriority w:val="0"/>
    <w:pPr>
      <w:spacing w:after="120"/>
    </w:pPr>
    <w:rPr>
      <w:kern w:val="0"/>
      <w:sz w:val="20"/>
    </w:rPr>
  </w:style>
  <w:style w:type="paragraph" w:styleId="12">
    <w:name w:val="toc 7"/>
    <w:basedOn w:val="1"/>
    <w:next w:val="1"/>
    <w:unhideWhenUsed/>
    <w:qFormat/>
    <w:uiPriority w:val="39"/>
    <w:pPr>
      <w:spacing w:after="57"/>
      <w:ind w:left="1701"/>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w:basedOn w:val="1"/>
    <w:next w:val="1"/>
    <w:link w:val="199"/>
    <w:qFormat/>
    <w:uiPriority w:val="99"/>
    <w:rPr>
      <w:rFonts w:ascii="Calibri" w:hAnsi="Calibri" w:eastAsia="仿宋" w:cs="Calibri"/>
      <w:sz w:val="21"/>
    </w:rPr>
  </w:style>
  <w:style w:type="paragraph" w:styleId="15">
    <w:name w:val="toc 5"/>
    <w:basedOn w:val="1"/>
    <w:next w:val="1"/>
    <w:unhideWhenUsed/>
    <w:qFormat/>
    <w:uiPriority w:val="39"/>
    <w:pPr>
      <w:spacing w:after="57"/>
      <w:ind w:left="1134"/>
    </w:pPr>
  </w:style>
  <w:style w:type="paragraph" w:styleId="16">
    <w:name w:val="toc 3"/>
    <w:basedOn w:val="1"/>
    <w:next w:val="1"/>
    <w:unhideWhenUsed/>
    <w:qFormat/>
    <w:uiPriority w:val="39"/>
    <w:pPr>
      <w:spacing w:after="57"/>
      <w:ind w:left="567"/>
    </w:pPr>
  </w:style>
  <w:style w:type="paragraph" w:styleId="17">
    <w:name w:val="toc 8"/>
    <w:basedOn w:val="1"/>
    <w:next w:val="1"/>
    <w:unhideWhenUsed/>
    <w:qFormat/>
    <w:uiPriority w:val="39"/>
    <w:pPr>
      <w:spacing w:after="57"/>
      <w:ind w:left="1984"/>
    </w:pPr>
  </w:style>
  <w:style w:type="paragraph" w:styleId="18">
    <w:name w:val="endnote text"/>
    <w:basedOn w:val="1"/>
    <w:link w:val="182"/>
    <w:semiHidden/>
    <w:unhideWhenUsed/>
    <w:qFormat/>
    <w:uiPriority w:val="99"/>
    <w:rPr>
      <w:sz w:val="20"/>
    </w:rPr>
  </w:style>
  <w:style w:type="paragraph" w:styleId="19">
    <w:name w:val="footer"/>
    <w:basedOn w:val="1"/>
    <w:link w:val="55"/>
    <w:unhideWhenUsed/>
    <w:qFormat/>
    <w:uiPriority w:val="99"/>
    <w:pPr>
      <w:tabs>
        <w:tab w:val="center" w:pos="7143"/>
        <w:tab w:val="right" w:pos="14287"/>
      </w:tabs>
    </w:pPr>
  </w:style>
  <w:style w:type="paragraph" w:styleId="20">
    <w:name w:val="header"/>
    <w:basedOn w:val="1"/>
    <w:link w:val="53"/>
    <w:unhideWhenUsed/>
    <w:qFormat/>
    <w:uiPriority w:val="99"/>
    <w:pPr>
      <w:tabs>
        <w:tab w:val="center" w:pos="7143"/>
        <w:tab w:val="right" w:pos="14287"/>
      </w:tabs>
    </w:pPr>
  </w:style>
  <w:style w:type="paragraph" w:styleId="21">
    <w:name w:val="toc 1"/>
    <w:basedOn w:val="1"/>
    <w:next w:val="1"/>
    <w:unhideWhenUsed/>
    <w:qFormat/>
    <w:uiPriority w:val="39"/>
    <w:pPr>
      <w:spacing w:after="57"/>
    </w:pPr>
  </w:style>
  <w:style w:type="paragraph" w:styleId="22">
    <w:name w:val="toc 4"/>
    <w:basedOn w:val="1"/>
    <w:next w:val="1"/>
    <w:unhideWhenUsed/>
    <w:qFormat/>
    <w:uiPriority w:val="39"/>
    <w:pPr>
      <w:spacing w:after="57"/>
      <w:ind w:left="850"/>
    </w:pPr>
  </w:style>
  <w:style w:type="paragraph" w:styleId="23">
    <w:name w:val="Subtitle"/>
    <w:basedOn w:val="1"/>
    <w:next w:val="1"/>
    <w:link w:val="48"/>
    <w:qFormat/>
    <w:uiPriority w:val="11"/>
    <w:pPr>
      <w:spacing w:before="200" w:after="200"/>
    </w:pPr>
    <w:rPr>
      <w:sz w:val="24"/>
      <w:szCs w:val="24"/>
    </w:rPr>
  </w:style>
  <w:style w:type="paragraph" w:styleId="24">
    <w:name w:val="footnote text"/>
    <w:basedOn w:val="1"/>
    <w:link w:val="181"/>
    <w:semiHidden/>
    <w:unhideWhenUsed/>
    <w:qFormat/>
    <w:uiPriority w:val="99"/>
    <w:pPr>
      <w:spacing w:after="40"/>
    </w:pPr>
    <w:rPr>
      <w:sz w:val="18"/>
    </w:rPr>
  </w:style>
  <w:style w:type="paragraph" w:styleId="25">
    <w:name w:val="toc 6"/>
    <w:basedOn w:val="1"/>
    <w:next w:val="1"/>
    <w:unhideWhenUsed/>
    <w:qFormat/>
    <w:uiPriority w:val="39"/>
    <w:pPr>
      <w:spacing w:after="57"/>
      <w:ind w:left="1417"/>
    </w:pPr>
  </w:style>
  <w:style w:type="paragraph" w:styleId="26">
    <w:name w:val="table of figures"/>
    <w:basedOn w:val="1"/>
    <w:next w:val="1"/>
    <w:unhideWhenUsed/>
    <w:qFormat/>
    <w:uiPriority w:val="99"/>
  </w:style>
  <w:style w:type="paragraph" w:styleId="27">
    <w:name w:val="toc 2"/>
    <w:basedOn w:val="1"/>
    <w:next w:val="1"/>
    <w:unhideWhenUsed/>
    <w:qFormat/>
    <w:uiPriority w:val="39"/>
    <w:pPr>
      <w:spacing w:after="57"/>
      <w:ind w:left="283"/>
    </w:pPr>
  </w:style>
  <w:style w:type="paragraph" w:styleId="28">
    <w:name w:val="toc 9"/>
    <w:basedOn w:val="1"/>
    <w:next w:val="1"/>
    <w:unhideWhenUsed/>
    <w:qFormat/>
    <w:uiPriority w:val="39"/>
    <w:pPr>
      <w:spacing w:after="57"/>
      <w:ind w:left="2268"/>
    </w:pPr>
  </w:style>
  <w:style w:type="paragraph" w:styleId="29">
    <w:name w:val="Title"/>
    <w:basedOn w:val="1"/>
    <w:next w:val="1"/>
    <w:link w:val="47"/>
    <w:qFormat/>
    <w:uiPriority w:val="10"/>
    <w:pPr>
      <w:spacing w:before="300" w:after="200"/>
      <w:contextualSpacing/>
    </w:pPr>
    <w:rPr>
      <w:sz w:val="48"/>
      <w:szCs w:val="48"/>
    </w:rPr>
  </w:style>
  <w:style w:type="table" w:styleId="31">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endnote reference"/>
    <w:semiHidden/>
    <w:unhideWhenUsed/>
    <w:qFormat/>
    <w:uiPriority w:val="99"/>
    <w:rPr>
      <w:vertAlign w:val="superscript"/>
    </w:rPr>
  </w:style>
  <w:style w:type="character" w:styleId="34">
    <w:name w:val="Hyperlink"/>
    <w:unhideWhenUsed/>
    <w:qFormat/>
    <w:uiPriority w:val="99"/>
    <w:rPr>
      <w:color w:val="0000FF" w:themeColor="hyperlink"/>
      <w:u w:val="single"/>
      <w14:textFill>
        <w14:solidFill>
          <w14:schemeClr w14:val="hlink"/>
        </w14:solidFill>
      </w14:textFill>
    </w:rPr>
  </w:style>
  <w:style w:type="character" w:styleId="35">
    <w:name w:val="footnote reference"/>
    <w:unhideWhenUsed/>
    <w:qFormat/>
    <w:uiPriority w:val="99"/>
    <w:rPr>
      <w:vertAlign w:val="superscript"/>
    </w:rPr>
  </w:style>
  <w:style w:type="character" w:customStyle="1" w:styleId="36">
    <w:name w:val="标题 1 字符"/>
    <w:link w:val="3"/>
    <w:qFormat/>
    <w:uiPriority w:val="9"/>
    <w:rPr>
      <w:rFonts w:ascii="Arial" w:hAnsi="Arial" w:eastAsia="Arial" w:cs="Arial"/>
      <w:sz w:val="40"/>
      <w:szCs w:val="40"/>
    </w:rPr>
  </w:style>
  <w:style w:type="character" w:customStyle="1" w:styleId="37">
    <w:name w:val="标题 2 字符"/>
    <w:link w:val="4"/>
    <w:qFormat/>
    <w:uiPriority w:val="9"/>
    <w:rPr>
      <w:rFonts w:ascii="Arial" w:hAnsi="Arial" w:eastAsia="Arial" w:cs="Arial"/>
      <w:sz w:val="34"/>
    </w:rPr>
  </w:style>
  <w:style w:type="character" w:customStyle="1" w:styleId="38">
    <w:name w:val="标题 3 字符"/>
    <w:link w:val="5"/>
    <w:qFormat/>
    <w:uiPriority w:val="9"/>
    <w:rPr>
      <w:rFonts w:ascii="Arial" w:hAnsi="Arial" w:eastAsia="Arial" w:cs="Arial"/>
      <w:sz w:val="30"/>
      <w:szCs w:val="30"/>
    </w:rPr>
  </w:style>
  <w:style w:type="character" w:customStyle="1" w:styleId="39">
    <w:name w:val="标题 4 字符"/>
    <w:link w:val="6"/>
    <w:qFormat/>
    <w:uiPriority w:val="9"/>
    <w:rPr>
      <w:rFonts w:ascii="Arial" w:hAnsi="Arial" w:eastAsia="Arial" w:cs="Arial"/>
      <w:b/>
      <w:bCs/>
      <w:sz w:val="26"/>
      <w:szCs w:val="26"/>
    </w:rPr>
  </w:style>
  <w:style w:type="character" w:customStyle="1" w:styleId="40">
    <w:name w:val="标题 5 字符"/>
    <w:link w:val="7"/>
    <w:qFormat/>
    <w:uiPriority w:val="9"/>
    <w:rPr>
      <w:rFonts w:ascii="Arial" w:hAnsi="Arial" w:eastAsia="Arial" w:cs="Arial"/>
      <w:b/>
      <w:bCs/>
      <w:sz w:val="24"/>
      <w:szCs w:val="24"/>
    </w:rPr>
  </w:style>
  <w:style w:type="character" w:customStyle="1" w:styleId="41">
    <w:name w:val="标题 6 字符"/>
    <w:link w:val="8"/>
    <w:qFormat/>
    <w:uiPriority w:val="9"/>
    <w:rPr>
      <w:rFonts w:ascii="Arial" w:hAnsi="Arial" w:eastAsia="Arial" w:cs="Arial"/>
      <w:b/>
      <w:bCs/>
      <w:sz w:val="22"/>
      <w:szCs w:val="22"/>
    </w:rPr>
  </w:style>
  <w:style w:type="character" w:customStyle="1" w:styleId="42">
    <w:name w:val="标题 7 字符"/>
    <w:link w:val="9"/>
    <w:qFormat/>
    <w:uiPriority w:val="9"/>
    <w:rPr>
      <w:rFonts w:ascii="Arial" w:hAnsi="Arial" w:eastAsia="Arial" w:cs="Arial"/>
      <w:b/>
      <w:bCs/>
      <w:i/>
      <w:iCs/>
      <w:sz w:val="22"/>
      <w:szCs w:val="22"/>
    </w:rPr>
  </w:style>
  <w:style w:type="character" w:customStyle="1" w:styleId="43">
    <w:name w:val="标题 8 字符"/>
    <w:link w:val="10"/>
    <w:qFormat/>
    <w:uiPriority w:val="9"/>
    <w:rPr>
      <w:rFonts w:ascii="Arial" w:hAnsi="Arial" w:eastAsia="Arial" w:cs="Arial"/>
      <w:i/>
      <w:iCs/>
      <w:sz w:val="22"/>
      <w:szCs w:val="22"/>
    </w:rPr>
  </w:style>
  <w:style w:type="character" w:customStyle="1" w:styleId="44">
    <w:name w:val="标题 9 字符"/>
    <w:link w:val="11"/>
    <w:qFormat/>
    <w:uiPriority w:val="9"/>
    <w:rPr>
      <w:rFonts w:ascii="Arial" w:hAnsi="Arial" w:eastAsia="Arial" w:cs="Arial"/>
      <w:i/>
      <w:iCs/>
      <w:sz w:val="21"/>
      <w:szCs w:val="21"/>
    </w:rPr>
  </w:style>
  <w:style w:type="paragraph" w:styleId="45">
    <w:name w:val="List Paragraph"/>
    <w:basedOn w:val="1"/>
    <w:qFormat/>
    <w:uiPriority w:val="34"/>
    <w:pPr>
      <w:ind w:left="720"/>
      <w:contextualSpacing/>
    </w:pPr>
  </w:style>
  <w:style w:type="paragraph" w:styleId="46">
    <w:name w:val="No Spacing"/>
    <w:qFormat/>
    <w:uiPriority w:val="1"/>
    <w:rPr>
      <w:rFonts w:ascii="Calibri" w:hAnsi="Calibri" w:eastAsia="仿宋_GB2312" w:cs="Times New Roman"/>
      <w:lang w:val="en-US" w:eastAsia="zh-CN" w:bidi="ar-SA"/>
    </w:rPr>
  </w:style>
  <w:style w:type="character" w:customStyle="1" w:styleId="47">
    <w:name w:val="标题 字符"/>
    <w:link w:val="29"/>
    <w:qFormat/>
    <w:uiPriority w:val="10"/>
    <w:rPr>
      <w:sz w:val="48"/>
      <w:szCs w:val="48"/>
    </w:rPr>
  </w:style>
  <w:style w:type="character" w:customStyle="1" w:styleId="48">
    <w:name w:val="副标题 字符"/>
    <w:link w:val="23"/>
    <w:qFormat/>
    <w:uiPriority w:val="11"/>
    <w:rPr>
      <w:sz w:val="24"/>
      <w:szCs w:val="24"/>
    </w:rPr>
  </w:style>
  <w:style w:type="paragraph" w:styleId="49">
    <w:name w:val="Quote"/>
    <w:basedOn w:val="1"/>
    <w:next w:val="1"/>
    <w:link w:val="50"/>
    <w:qFormat/>
    <w:uiPriority w:val="29"/>
    <w:pPr>
      <w:ind w:left="720" w:right="720"/>
    </w:pPr>
    <w:rPr>
      <w:i/>
    </w:rPr>
  </w:style>
  <w:style w:type="character" w:customStyle="1" w:styleId="50">
    <w:name w:val="引用 字符"/>
    <w:link w:val="49"/>
    <w:qFormat/>
    <w:uiPriority w:val="29"/>
    <w:rPr>
      <w:i/>
    </w:rPr>
  </w:style>
  <w:style w:type="paragraph" w:styleId="51">
    <w:name w:val="Intense Quote"/>
    <w:basedOn w:val="1"/>
    <w:next w:val="1"/>
    <w:link w:val="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2">
    <w:name w:val="明显引用 字符"/>
    <w:link w:val="51"/>
    <w:qFormat/>
    <w:uiPriority w:val="30"/>
    <w:rPr>
      <w:i/>
    </w:rPr>
  </w:style>
  <w:style w:type="character" w:customStyle="1" w:styleId="53">
    <w:name w:val="页眉 字符1"/>
    <w:link w:val="20"/>
    <w:qFormat/>
    <w:uiPriority w:val="99"/>
  </w:style>
  <w:style w:type="character" w:customStyle="1" w:styleId="54">
    <w:name w:val="Footer Char"/>
    <w:qFormat/>
    <w:uiPriority w:val="99"/>
  </w:style>
  <w:style w:type="character" w:customStyle="1" w:styleId="55">
    <w:name w:val="页脚 字符1"/>
    <w:link w:val="19"/>
    <w:qFormat/>
    <w:uiPriority w:val="99"/>
  </w:style>
  <w:style w:type="table" w:customStyle="1" w:styleId="56">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57">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4">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5">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66">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67">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68">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9">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0">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1">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2">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3">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4">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5">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6">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7">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8">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9">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0">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1">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2">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3">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4">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5">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6">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7">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8">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9">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0">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1">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2">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3">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4">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5">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96">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97">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8">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9">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0">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1">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2">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3">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4">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5">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6">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7">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8">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9">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0">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1">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2">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3">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4">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5">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16">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17">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18">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9">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0">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1">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2">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3">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4">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5">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26">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27">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28">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9">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0">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1">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2">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3">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4">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5">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36">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37">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38">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9">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0">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1">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2">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3">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4">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5">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46">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47">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8">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9">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0">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1">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2">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3">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4">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5">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6">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7">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8">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9">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0">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1">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2">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3">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4">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5">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6">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7">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8">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9">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0">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1">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2">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3">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4">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5">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76">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77">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78">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9">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0">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1">
    <w:name w:val="脚注文本 字符"/>
    <w:link w:val="24"/>
    <w:qFormat/>
    <w:uiPriority w:val="99"/>
    <w:rPr>
      <w:sz w:val="18"/>
    </w:rPr>
  </w:style>
  <w:style w:type="character" w:customStyle="1" w:styleId="182">
    <w:name w:val="尾注文本 字符"/>
    <w:link w:val="18"/>
    <w:qFormat/>
    <w:uiPriority w:val="99"/>
    <w:rPr>
      <w:sz w:val="20"/>
    </w:rPr>
  </w:style>
  <w:style w:type="paragraph" w:customStyle="1" w:styleId="183">
    <w:name w:val="TOC 标题1"/>
    <w:unhideWhenUsed/>
    <w:qFormat/>
    <w:uiPriority w:val="39"/>
    <w:rPr>
      <w:rFonts w:ascii="Calibri" w:hAnsi="Calibri" w:eastAsia="仿宋_GB2312" w:cs="Times New Roman"/>
      <w:lang w:val="en-US" w:eastAsia="zh-CN" w:bidi="ar-SA"/>
    </w:rPr>
  </w:style>
  <w:style w:type="character" w:customStyle="1" w:styleId="184">
    <w:name w:val="默认段落字体1"/>
    <w:unhideWhenUsed/>
    <w:qFormat/>
    <w:uiPriority w:val="1"/>
  </w:style>
  <w:style w:type="table" w:customStyle="1" w:styleId="185">
    <w:name w:val="普通表格1"/>
    <w:unhideWhenUsed/>
    <w:qFormat/>
    <w:uiPriority w:val="99"/>
    <w:tblPr>
      <w:tblCellMar>
        <w:top w:w="0" w:type="dxa"/>
        <w:left w:w="0" w:type="dxa"/>
        <w:bottom w:w="0" w:type="dxa"/>
        <w:right w:w="0" w:type="dxa"/>
      </w:tblCellMar>
    </w:tblPr>
  </w:style>
  <w:style w:type="paragraph" w:customStyle="1" w:styleId="186">
    <w:name w:val="批注文字1"/>
    <w:qFormat/>
    <w:uiPriority w:val="0"/>
    <w:pPr>
      <w:widowControl w:val="0"/>
      <w:snapToGrid w:val="0"/>
      <w:spacing w:line="336" w:lineRule="auto"/>
      <w:ind w:firstLine="632" w:firstLineChars="200"/>
    </w:pPr>
    <w:rPr>
      <w:rFonts w:hint="eastAsia" w:ascii="仿宋_GB2312" w:hAnsi="仿宋_GB2312" w:eastAsia="仿宋_GB2312" w:cs="仿宋_GB2312"/>
      <w:snapToGrid w:val="0"/>
      <w:sz w:val="32"/>
      <w:szCs w:val="24"/>
      <w:lang w:val="en-US" w:eastAsia="zh-CN" w:bidi="ar-SA"/>
    </w:rPr>
  </w:style>
  <w:style w:type="paragraph" w:customStyle="1" w:styleId="187">
    <w:name w:val="正文文本缩进1"/>
    <w:basedOn w:val="1"/>
    <w:qFormat/>
    <w:uiPriority w:val="99"/>
    <w:pPr>
      <w:spacing w:after="120"/>
      <w:ind w:left="420" w:leftChars="200"/>
    </w:pPr>
  </w:style>
  <w:style w:type="paragraph" w:customStyle="1" w:styleId="188">
    <w:name w:val="日期1"/>
    <w:basedOn w:val="1"/>
    <w:next w:val="1"/>
    <w:link w:val="189"/>
    <w:unhideWhenUsed/>
    <w:qFormat/>
    <w:uiPriority w:val="99"/>
    <w:pPr>
      <w:ind w:left="100" w:leftChars="2500"/>
    </w:pPr>
  </w:style>
  <w:style w:type="character" w:customStyle="1" w:styleId="189">
    <w:name w:val="日期 字符"/>
    <w:link w:val="188"/>
    <w:semiHidden/>
    <w:qFormat/>
    <w:uiPriority w:val="99"/>
    <w:rPr>
      <w:kern w:val="2"/>
      <w:sz w:val="32"/>
      <w:szCs w:val="22"/>
    </w:rPr>
  </w:style>
  <w:style w:type="paragraph" w:customStyle="1" w:styleId="190">
    <w:name w:val="页脚1"/>
    <w:basedOn w:val="1"/>
    <w:link w:val="191"/>
    <w:unhideWhenUsed/>
    <w:qFormat/>
    <w:uiPriority w:val="99"/>
    <w:pPr>
      <w:tabs>
        <w:tab w:val="center" w:pos="4153"/>
        <w:tab w:val="right" w:pos="8306"/>
      </w:tabs>
      <w:snapToGrid w:val="0"/>
      <w:jc w:val="left"/>
    </w:pPr>
    <w:rPr>
      <w:sz w:val="18"/>
      <w:szCs w:val="18"/>
    </w:rPr>
  </w:style>
  <w:style w:type="character" w:customStyle="1" w:styleId="191">
    <w:name w:val="页脚 字符"/>
    <w:link w:val="190"/>
    <w:qFormat/>
    <w:uiPriority w:val="99"/>
    <w:rPr>
      <w:kern w:val="2"/>
      <w:sz w:val="18"/>
      <w:szCs w:val="18"/>
    </w:rPr>
  </w:style>
  <w:style w:type="paragraph" w:customStyle="1" w:styleId="192">
    <w:name w:val="页眉1"/>
    <w:basedOn w:val="1"/>
    <w:link w:val="193"/>
    <w:unhideWhenUsed/>
    <w:qFormat/>
    <w:uiPriority w:val="99"/>
    <w:pPr>
      <w:pBdr>
        <w:bottom w:val="single" w:color="000000" w:sz="6" w:space="1"/>
      </w:pBdr>
      <w:tabs>
        <w:tab w:val="center" w:pos="4153"/>
        <w:tab w:val="right" w:pos="8306"/>
      </w:tabs>
      <w:snapToGrid w:val="0"/>
      <w:jc w:val="center"/>
    </w:pPr>
    <w:rPr>
      <w:sz w:val="18"/>
      <w:szCs w:val="18"/>
    </w:rPr>
  </w:style>
  <w:style w:type="character" w:customStyle="1" w:styleId="193">
    <w:name w:val="页眉 字符"/>
    <w:link w:val="192"/>
    <w:qFormat/>
    <w:uiPriority w:val="99"/>
    <w:rPr>
      <w:kern w:val="2"/>
      <w:sz w:val="18"/>
      <w:szCs w:val="18"/>
    </w:rPr>
  </w:style>
  <w:style w:type="paragraph" w:customStyle="1" w:styleId="194">
    <w:name w:val="正文首行缩进 21"/>
    <w:basedOn w:val="187"/>
    <w:next w:val="1"/>
    <w:qFormat/>
    <w:uiPriority w:val="0"/>
    <w:pPr>
      <w:ind w:left="200" w:firstLine="420" w:firstLineChars="200"/>
    </w:pPr>
    <w:rPr>
      <w:rFonts w:ascii="Calibri" w:hAnsi="Calibri" w:eastAsia="宋体"/>
      <w:sz w:val="21"/>
      <w:szCs w:val="24"/>
    </w:rPr>
  </w:style>
  <w:style w:type="table" w:customStyle="1" w:styleId="195">
    <w:name w:val="网格型1"/>
    <w:basedOn w:val="185"/>
    <w:qFormat/>
    <w:uiPriority w:val="59"/>
    <w:pPr>
      <w:widowControl w:val="0"/>
      <w:jc w:val="both"/>
    </w:pPr>
    <w:rPr>
      <w:rFonts w:eastAsia="宋体"/>
    </w:rPr>
    <w:tblPr>
      <w:tblCellMar>
        <w:top w:w="0" w:type="dxa"/>
        <w:left w:w="0" w:type="dxa"/>
        <w:bottom w:w="0" w:type="dxa"/>
        <w:right w:w="0" w:type="dxa"/>
      </w:tblCellMar>
    </w:tblPr>
  </w:style>
  <w:style w:type="character" w:customStyle="1" w:styleId="196">
    <w:name w:val="页码1"/>
    <w:unhideWhenUsed/>
    <w:qFormat/>
    <w:uiPriority w:val="99"/>
  </w:style>
  <w:style w:type="paragraph" w:customStyle="1" w:styleId="19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98">
    <w:name w:val="正文文本 字符"/>
    <w:basedOn w:val="32"/>
    <w:semiHidden/>
    <w:qFormat/>
    <w:uiPriority w:val="99"/>
    <w:rPr>
      <w:rFonts w:ascii="Times New Roman" w:hAnsi="Times New Roman"/>
      <w:kern w:val="2"/>
      <w:sz w:val="32"/>
      <w:szCs w:val="32"/>
    </w:rPr>
  </w:style>
  <w:style w:type="character" w:customStyle="1" w:styleId="199">
    <w:name w:val="正文文本 字符1"/>
    <w:link w:val="14"/>
    <w:qFormat/>
    <w:uiPriority w:val="99"/>
    <w:rPr>
      <w:rFonts w:eastAsia="仿宋" w:cs="Calibri"/>
      <w:kern w:val="2"/>
      <w:sz w:val="21"/>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7187</Words>
  <Characters>7227</Characters>
  <Lines>112</Lines>
  <Paragraphs>31</Paragraphs>
  <TotalTime>5</TotalTime>
  <ScaleCrop>false</ScaleCrop>
  <LinksUpToDate>false</LinksUpToDate>
  <CharactersWithSpaces>7392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2021-07-27T10:22:00Z</dcterms:created>
  <dc:creator>税伯</dc:creator>
  <cp:lastModifiedBy>兜兜</cp:lastModifiedBy>
  <dcterms:modified xsi:type="dcterms:W3CDTF">2026-09-23T07:19:12Z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DB8E61D437326A6C6B6E966A360EE2F1</vt:lpwstr>
  </property>
  <property fmtid="{D5CDD505-2E9C-101B-9397-08002B2CF9AE}" pid="4" name="KSOTemplateDocerSaveRecord">
    <vt:lpwstr>eyJoZGlkIjoiMWIyMmY4MjlmZDg3NzJjYjBmYmFkMGRhNDliMmFhOWEiLCJ1c2VySWQiOiI1NjI1NDI2MjAifQ==</vt:lpwstr>
  </property>
</Properties>
</file>