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EF40C">
      <w:pPr>
        <w:snapToGrid w:val="0"/>
        <w:spacing w:line="336" w:lineRule="auto"/>
        <w:jc w:val="right"/>
        <w:rPr>
          <w:rFonts w:eastAsia="仿宋_GB2312"/>
          <w:snapToGrid w:val="0"/>
          <w:color w:val="000000"/>
          <w:kern w:val="0"/>
        </w:rPr>
      </w:pPr>
      <w:r>
        <w:rPr>
          <w:rFonts w:hint="eastAsia" w:eastAsia="仿宋_GB2312"/>
          <w:snapToGrid w:val="0"/>
          <w:color w:val="000000"/>
          <w:kern w:val="0"/>
        </w:rPr>
        <w:t>川教发〔2026〕1</w:t>
      </w:r>
      <w:r>
        <w:rPr>
          <w:rFonts w:hint="eastAsia" w:eastAsia="仿宋_GB2312"/>
          <w:snapToGrid w:val="0"/>
          <w:color w:val="000000"/>
          <w:kern w:val="0"/>
          <w:lang w:val="en-US" w:eastAsia="zh-CN"/>
        </w:rPr>
        <w:t>6</w:t>
      </w:r>
      <w:r>
        <w:rPr>
          <w:rFonts w:hint="eastAsia" w:eastAsia="仿宋_GB2312"/>
          <w:snapToGrid w:val="0"/>
          <w:color w:val="000000"/>
          <w:kern w:val="0"/>
        </w:rPr>
        <w:t>号</w:t>
      </w:r>
    </w:p>
    <w:p w14:paraId="1F115F2E">
      <w:pPr>
        <w:pStyle w:val="198"/>
        <w:ind w:left="640"/>
        <w:rPr>
          <w:rFonts w:ascii="Times New Roman" w:hAnsi="Times New Roman"/>
        </w:rPr>
      </w:pPr>
    </w:p>
    <w:p w14:paraId="53C85DA6">
      <w:pPr>
        <w:wordWrap w:val="0"/>
        <w:topLinePunct/>
        <w:spacing w:line="240" w:lineRule="auto"/>
        <w:jc w:val="center"/>
        <w:rPr>
          <w:rFonts w:eastAsia="方正小标宋简体"/>
          <w:snapToGrid w:val="0"/>
          <w:color w:val="000000"/>
          <w:kern w:val="0"/>
          <w:sz w:val="44"/>
          <w:szCs w:val="44"/>
        </w:rPr>
      </w:pPr>
      <w:r>
        <w:rPr>
          <w:rFonts w:eastAsia="方正小标宋简体"/>
          <w:snapToGrid w:val="0"/>
          <w:color w:val="000000"/>
          <w:kern w:val="0"/>
          <w:sz w:val="44"/>
          <w:szCs w:val="44"/>
        </w:rPr>
        <w:t>四川省教育厅</w:t>
      </w:r>
      <w:r>
        <w:rPr>
          <w:rFonts w:hint="eastAsia" w:eastAsia="方正小标宋简体"/>
          <w:snapToGrid w:val="0"/>
          <w:color w:val="000000"/>
          <w:kern w:val="0"/>
          <w:sz w:val="44"/>
          <w:szCs w:val="44"/>
          <w:lang w:val="en-US" w:eastAsia="zh-CN"/>
        </w:rPr>
        <w:t xml:space="preserve">  </w:t>
      </w:r>
      <w:r>
        <w:rPr>
          <w:rFonts w:eastAsia="方正小标宋简体"/>
          <w:snapToGrid w:val="0"/>
          <w:color w:val="000000"/>
          <w:kern w:val="0"/>
          <w:sz w:val="44"/>
          <w:szCs w:val="44"/>
        </w:rPr>
        <w:t>四川省财政厅</w:t>
      </w:r>
    </w:p>
    <w:p w14:paraId="78F0B937">
      <w:pPr>
        <w:wordWrap w:val="0"/>
        <w:topLinePunct/>
        <w:spacing w:line="240" w:lineRule="auto"/>
        <w:jc w:val="center"/>
        <w:rPr>
          <w:rFonts w:hint="eastAsia" w:eastAsia="方正小标宋简体"/>
          <w:snapToGrid w:val="0"/>
          <w:color w:val="000000"/>
          <w:sz w:val="44"/>
          <w:szCs w:val="44"/>
        </w:rPr>
      </w:pPr>
      <w:r>
        <w:rPr>
          <w:rFonts w:hint="eastAsia" w:eastAsia="方正小标宋简体"/>
          <w:snapToGrid w:val="0"/>
          <w:color w:val="000000"/>
          <w:sz w:val="44"/>
          <w:szCs w:val="44"/>
        </w:rPr>
        <w:t>四川省人力资源和社会保障厅</w:t>
      </w:r>
    </w:p>
    <w:p w14:paraId="79A19C87">
      <w:pPr>
        <w:wordWrap w:val="0"/>
        <w:topLinePunct/>
        <w:spacing w:line="240" w:lineRule="auto"/>
        <w:jc w:val="center"/>
        <w:rPr>
          <w:rFonts w:eastAsia="方正小标宋简体"/>
          <w:snapToGrid w:val="0"/>
          <w:color w:val="000000"/>
          <w:kern w:val="0"/>
          <w:sz w:val="44"/>
          <w:szCs w:val="44"/>
        </w:rPr>
      </w:pPr>
      <w:r>
        <w:rPr>
          <w:rFonts w:eastAsia="方正小标宋简体"/>
          <w:snapToGrid w:val="0"/>
          <w:color w:val="000000"/>
          <w:kern w:val="0"/>
          <w:sz w:val="44"/>
          <w:szCs w:val="44"/>
        </w:rPr>
        <w:t>四川省农业农村厅</w:t>
      </w:r>
      <w:r>
        <w:rPr>
          <w:rFonts w:hint="eastAsia" w:eastAsia="方正小标宋简体"/>
          <w:snapToGrid w:val="0"/>
          <w:color w:val="000000"/>
          <w:kern w:val="0"/>
          <w:sz w:val="44"/>
          <w:szCs w:val="44"/>
          <w:lang w:val="en-US" w:eastAsia="zh-CN"/>
        </w:rPr>
        <w:t xml:space="preserve">  </w:t>
      </w:r>
      <w:r>
        <w:rPr>
          <w:rFonts w:eastAsia="方正小标宋简体"/>
          <w:snapToGrid w:val="0"/>
          <w:color w:val="000000"/>
          <w:kern w:val="0"/>
          <w:sz w:val="44"/>
          <w:szCs w:val="44"/>
        </w:rPr>
        <w:t>四川省卫生健康委员会</w:t>
      </w:r>
    </w:p>
    <w:p w14:paraId="1ABA9976">
      <w:pPr>
        <w:wordWrap w:val="0"/>
        <w:topLinePunct/>
        <w:spacing w:line="240" w:lineRule="auto"/>
        <w:jc w:val="center"/>
        <w:rPr>
          <w:rFonts w:eastAsia="方正小标宋简体"/>
          <w:snapToGrid w:val="0"/>
          <w:color w:val="000000"/>
          <w:kern w:val="0"/>
          <w:sz w:val="44"/>
          <w:szCs w:val="44"/>
        </w:rPr>
      </w:pPr>
      <w:r>
        <w:rPr>
          <w:rFonts w:eastAsia="方正小标宋简体"/>
          <w:snapToGrid w:val="0"/>
          <w:color w:val="000000"/>
          <w:kern w:val="0"/>
          <w:sz w:val="44"/>
          <w:szCs w:val="44"/>
        </w:rPr>
        <w:t>四川省审计厅</w:t>
      </w:r>
      <w:r>
        <w:rPr>
          <w:rFonts w:hint="eastAsia" w:eastAsia="方正小标宋简体"/>
          <w:snapToGrid w:val="0"/>
          <w:color w:val="000000"/>
          <w:kern w:val="0"/>
          <w:sz w:val="44"/>
          <w:szCs w:val="44"/>
          <w:lang w:val="en-US" w:eastAsia="zh-CN"/>
        </w:rPr>
        <w:t xml:space="preserve">  </w:t>
      </w:r>
      <w:r>
        <w:rPr>
          <w:rFonts w:eastAsia="方正小标宋简体"/>
          <w:snapToGrid w:val="0"/>
          <w:color w:val="000000"/>
          <w:kern w:val="0"/>
          <w:sz w:val="44"/>
          <w:szCs w:val="44"/>
        </w:rPr>
        <w:t>四川省市场监督管理局</w:t>
      </w:r>
    </w:p>
    <w:p w14:paraId="039E0728">
      <w:pPr>
        <w:adjustRightInd w:val="0"/>
        <w:snapToGrid w:val="0"/>
        <w:jc w:val="center"/>
        <w:rPr>
          <w:rFonts w:eastAsia="方正小标宋_GBK"/>
          <w:snapToGrid w:val="0"/>
          <w:color w:val="000000"/>
          <w:kern w:val="0"/>
          <w:sz w:val="44"/>
          <w:szCs w:val="44"/>
        </w:rPr>
      </w:pPr>
      <w:r>
        <w:rPr>
          <w:rFonts w:eastAsia="方正小标宋_GBK"/>
          <w:snapToGrid w:val="0"/>
          <w:color w:val="000000"/>
          <w:kern w:val="0"/>
          <w:sz w:val="44"/>
          <w:szCs w:val="44"/>
        </w:rPr>
        <w:t>关于加强学校食堂食材供应链和膳食经费</w:t>
      </w:r>
    </w:p>
    <w:p w14:paraId="6085415A">
      <w:pPr>
        <w:adjustRightInd w:val="0"/>
        <w:snapToGrid w:val="0"/>
        <w:jc w:val="center"/>
        <w:rPr>
          <w:rFonts w:eastAsia="方正小标宋_GBK"/>
          <w:snapToGrid w:val="0"/>
          <w:color w:val="000000"/>
          <w:kern w:val="0"/>
          <w:sz w:val="44"/>
          <w:szCs w:val="44"/>
        </w:rPr>
      </w:pPr>
      <w:r>
        <w:rPr>
          <w:rFonts w:eastAsia="方正小标宋_GBK"/>
          <w:snapToGrid w:val="0"/>
          <w:color w:val="000000"/>
          <w:kern w:val="0"/>
          <w:sz w:val="44"/>
          <w:szCs w:val="44"/>
        </w:rPr>
        <w:t>监督管理工作的通知</w:t>
      </w:r>
    </w:p>
    <w:p w14:paraId="57E667D5">
      <w:pPr>
        <w:pStyle w:val="2"/>
      </w:pPr>
    </w:p>
    <w:p w14:paraId="605C442B">
      <w:pPr>
        <w:snapToGrid w:val="0"/>
        <w:spacing w:line="336" w:lineRule="auto"/>
        <w:rPr>
          <w:rFonts w:eastAsia="仿宋_GB2312"/>
          <w:snapToGrid w:val="0"/>
          <w:color w:val="000000"/>
          <w:kern w:val="0"/>
        </w:rPr>
      </w:pPr>
    </w:p>
    <w:p w14:paraId="06EDEB1B">
      <w:pPr>
        <w:snapToGrid w:val="0"/>
        <w:spacing w:line="336" w:lineRule="auto"/>
        <w:rPr>
          <w:rFonts w:eastAsia="仿宋_GB2312"/>
          <w:snapToGrid w:val="0"/>
          <w:color w:val="000000"/>
          <w:kern w:val="0"/>
        </w:rPr>
      </w:pPr>
      <w:r>
        <w:rPr>
          <w:rFonts w:eastAsia="仿宋_GB2312"/>
          <w:snapToGrid w:val="0"/>
          <w:color w:val="000000"/>
          <w:kern w:val="0"/>
        </w:rPr>
        <w:t>各市（州）教育主管部门、财政局、</w:t>
      </w:r>
      <w:r>
        <w:rPr>
          <w:rFonts w:hint="eastAsia" w:eastAsia="仿宋_GB2312"/>
          <w:snapToGrid w:val="0"/>
          <w:color w:val="000000"/>
          <w:kern w:val="0"/>
        </w:rPr>
        <w:t>人力资源</w:t>
      </w:r>
      <w:r>
        <w:rPr>
          <w:rFonts w:hint="eastAsia" w:eastAsia="仿宋_GB2312"/>
          <w:snapToGrid w:val="0"/>
          <w:color w:val="000000"/>
          <w:kern w:val="0"/>
          <w:lang w:val="en-US" w:eastAsia="zh-CN"/>
        </w:rPr>
        <w:t>和</w:t>
      </w:r>
      <w:r>
        <w:rPr>
          <w:rFonts w:hint="eastAsia" w:eastAsia="仿宋_GB2312"/>
          <w:snapToGrid w:val="0"/>
          <w:color w:val="000000"/>
          <w:kern w:val="0"/>
        </w:rPr>
        <w:t>社会保障局、</w:t>
      </w:r>
      <w:r>
        <w:rPr>
          <w:rFonts w:eastAsia="仿宋_GB2312"/>
          <w:snapToGrid w:val="0"/>
          <w:color w:val="000000"/>
          <w:kern w:val="0"/>
        </w:rPr>
        <w:t>农业（农牧）农村局、卫生健康委、审计局、市场监管局，各高等学校、省属中等职业学校</w:t>
      </w:r>
      <w:r>
        <w:rPr>
          <w:rFonts w:hint="eastAsia" w:eastAsia="仿宋_GB2312"/>
          <w:snapToGrid w:val="0"/>
          <w:color w:val="000000"/>
          <w:kern w:val="0"/>
        </w:rPr>
        <w:t>（含技工院校）</w:t>
      </w:r>
      <w:r>
        <w:rPr>
          <w:rFonts w:eastAsia="仿宋_GB2312"/>
          <w:snapToGrid w:val="0"/>
          <w:color w:val="000000"/>
          <w:kern w:val="0"/>
        </w:rPr>
        <w:t>：</w:t>
      </w:r>
    </w:p>
    <w:p w14:paraId="70612879">
      <w:pPr>
        <w:snapToGrid w:val="0"/>
        <w:spacing w:line="336" w:lineRule="auto"/>
        <w:ind w:firstLine="640" w:firstLineChars="200"/>
        <w:rPr>
          <w:rFonts w:eastAsia="仿宋_GB2312"/>
          <w:snapToGrid w:val="0"/>
          <w:color w:val="000000"/>
          <w:kern w:val="0"/>
        </w:rPr>
      </w:pPr>
      <w:r>
        <w:rPr>
          <w:rFonts w:eastAsia="仿宋_GB2312"/>
          <w:snapToGrid w:val="0"/>
          <w:color w:val="000000"/>
          <w:kern w:val="0"/>
        </w:rPr>
        <w:t>为深入贯彻落实习近平总书记关于食品安全“四个最严”要求，持续巩固提升“校园餐”治理成效，压紧压实各方责任，有效防控学校（含幼儿园</w:t>
      </w:r>
      <w:r>
        <w:rPr>
          <w:rFonts w:hint="eastAsia" w:eastAsia="仿宋_GB2312"/>
          <w:snapToGrid w:val="0"/>
          <w:color w:val="000000"/>
          <w:kern w:val="0"/>
        </w:rPr>
        <w:t>和技工院校</w:t>
      </w:r>
      <w:r>
        <w:rPr>
          <w:rFonts w:eastAsia="仿宋_GB2312"/>
          <w:snapToGrid w:val="0"/>
          <w:color w:val="000000"/>
          <w:kern w:val="0"/>
        </w:rPr>
        <w:t>，下同）食堂食材供应链和膳食经费管理风险，切实提高学校食堂保障服务能力，现就有关事项通知如下。</w:t>
      </w:r>
    </w:p>
    <w:p w14:paraId="5A5A969A">
      <w:pPr>
        <w:snapToGrid w:val="0"/>
        <w:spacing w:line="336" w:lineRule="auto"/>
        <w:ind w:firstLine="640" w:firstLineChars="200"/>
        <w:outlineLvl w:val="0"/>
        <w:rPr>
          <w:rFonts w:eastAsia="黑体"/>
          <w:snapToGrid w:val="0"/>
          <w:color w:val="000000"/>
          <w:kern w:val="0"/>
        </w:rPr>
      </w:pPr>
      <w:r>
        <w:rPr>
          <w:rFonts w:eastAsia="黑体"/>
          <w:snapToGrid w:val="0"/>
          <w:color w:val="000000"/>
          <w:kern w:val="0"/>
        </w:rPr>
        <w:t>一、健全食材供应链运行机制</w:t>
      </w:r>
    </w:p>
    <w:p w14:paraId="60507A78">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（一）强化食材源头管控。</w:t>
      </w:r>
      <w:r>
        <w:rPr>
          <w:rFonts w:eastAsia="仿宋_GB2312"/>
          <w:snapToGrid w:val="0"/>
          <w:color w:val="000000"/>
          <w:kern w:val="0"/>
        </w:rPr>
        <w:t>农业农村部门要加强对</w:t>
      </w:r>
      <w:r>
        <w:rPr>
          <w:rFonts w:hint="eastAsia" w:eastAsia="仿宋_GB2312"/>
          <w:snapToGrid w:val="0"/>
          <w:color w:val="000000"/>
          <w:kern w:val="0"/>
        </w:rPr>
        <w:t>直供学校</w:t>
      </w:r>
      <w:r>
        <w:rPr>
          <w:rFonts w:eastAsia="仿宋_GB2312"/>
          <w:snapToGrid w:val="0"/>
          <w:color w:val="000000"/>
          <w:kern w:val="0"/>
        </w:rPr>
        <w:t>生产基地的食用农产品生产环节质量安全监管和肉类产品屠宰环节检验检疫，指导农产品生产企业、农民专业合作社向学校供应附带承诺达标合格证的安全优质食用农产品；指导食用农产品种养殖基地开展针对性农兽药残留检测；通过“四川智慧动监”等平台实现动物检疫证明（产品）信息查询。市场监管部门要加强食用农产品进入批发、零售市场或生产加工企业后的质量安全监管，督促食用农产品批发市场依法开展入场查验、抽样检验，防范不合格食材流入校园；推动学校食堂和校外供餐单位按规定对接“四川省食品溯源公共服务平台”或上传溯源数据，逐步实现入校大宗食材线上可溯源。</w:t>
      </w:r>
    </w:p>
    <w:p w14:paraId="0A773659">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（二）明确食材采购模式。</w:t>
      </w:r>
      <w:r>
        <w:rPr>
          <w:rFonts w:eastAsia="仿宋_GB2312"/>
          <w:snapToGrid w:val="0"/>
          <w:color w:val="000000"/>
          <w:kern w:val="0"/>
        </w:rPr>
        <w:t>学校自主经营食堂大宗食材采购应按照“三重一大”要求，经集体研究决定，并通过招投标等公开竞争方式依法依规确定供应商，鼓励探索采用框架协议采购方式实施。县（市、区）</w:t>
      </w:r>
      <w:r>
        <w:rPr>
          <w:rFonts w:hint="eastAsia" w:eastAsia="仿宋_GB2312"/>
          <w:snapToGrid w:val="0"/>
          <w:color w:val="000000"/>
          <w:kern w:val="0"/>
        </w:rPr>
        <w:t>属</w:t>
      </w:r>
      <w:r>
        <w:rPr>
          <w:rFonts w:eastAsia="仿宋_GB2312"/>
          <w:snapToGrid w:val="0"/>
          <w:color w:val="000000"/>
          <w:kern w:val="0"/>
        </w:rPr>
        <w:t>公办中小学校</w:t>
      </w:r>
      <w:r>
        <w:rPr>
          <w:rFonts w:hint="eastAsia" w:eastAsia="仿宋_GB2312"/>
          <w:snapToGrid w:val="0"/>
          <w:color w:val="000000"/>
          <w:kern w:val="0"/>
        </w:rPr>
        <w:t>（含幼儿园和技工院校，下同）</w:t>
      </w:r>
      <w:r>
        <w:rPr>
          <w:rFonts w:eastAsia="仿宋_GB2312"/>
          <w:snapToGrid w:val="0"/>
          <w:color w:val="000000"/>
          <w:kern w:val="0"/>
        </w:rPr>
        <w:t>自主经营食堂大宗食材原则上由县（市、区）教育主管部门牵头实施统一采购</w:t>
      </w:r>
      <w:r>
        <w:rPr>
          <w:rFonts w:hint="eastAsia" w:eastAsia="仿宋_GB2312"/>
          <w:snapToGrid w:val="0"/>
          <w:color w:val="000000"/>
          <w:kern w:val="0"/>
        </w:rPr>
        <w:t>，</w:t>
      </w:r>
      <w:r>
        <w:rPr>
          <w:rFonts w:eastAsia="仿宋_GB2312"/>
          <w:snapToGrid w:val="0"/>
          <w:color w:val="000000"/>
          <w:kern w:val="0"/>
        </w:rPr>
        <w:t>确有特殊困难不具备条件的地区，报经县（市、区）人民政府同意后，可采取多校划片联采、学校自主采购等方式实施；省属和市（州）属、民办及食堂对外承包的中小学校大宗食材采购，可参照纳入属地管理，学校应主动与属地教育主管部门开展工作对接</w:t>
      </w:r>
      <w:r>
        <w:rPr>
          <w:rFonts w:hint="eastAsia" w:eastAsia="仿宋_GB2312"/>
          <w:snapToGrid w:val="0"/>
          <w:color w:val="000000"/>
          <w:kern w:val="0"/>
          <w:lang w:eastAsia="zh-CN"/>
        </w:rPr>
        <w:t>，</w:t>
      </w:r>
      <w:r>
        <w:rPr>
          <w:rFonts w:hint="eastAsia" w:eastAsia="仿宋_GB2312"/>
          <w:snapToGrid w:val="0"/>
          <w:color w:val="000000"/>
          <w:kern w:val="0"/>
          <w:lang w:val="en-US" w:eastAsia="zh-CN"/>
        </w:rPr>
        <w:t>确因特殊原因无法纳入属地管理的，</w:t>
      </w:r>
      <w:r>
        <w:rPr>
          <w:rFonts w:eastAsia="仿宋_GB2312"/>
          <w:snapToGrid w:val="0"/>
          <w:color w:val="000000"/>
          <w:kern w:val="0"/>
        </w:rPr>
        <w:t>可采取多校划片联采、学校自主采购等方式</w:t>
      </w:r>
      <w:r>
        <w:rPr>
          <w:rFonts w:hint="eastAsia" w:eastAsia="仿宋_GB2312"/>
          <w:snapToGrid w:val="0"/>
          <w:color w:val="000000"/>
          <w:kern w:val="0"/>
          <w:lang w:val="en-US" w:eastAsia="zh-CN"/>
        </w:rPr>
        <w:t>推进</w:t>
      </w:r>
      <w:r>
        <w:rPr>
          <w:rFonts w:eastAsia="仿宋_GB2312"/>
          <w:snapToGrid w:val="0"/>
          <w:color w:val="000000"/>
          <w:kern w:val="0"/>
        </w:rPr>
        <w:t>实施。高校自主经营食堂大宗食材由学校集中统一采购，鼓励探索区域高校食堂食材联采等方式；承包经营食堂食材采购应按照学校有关要求执行，并接受学校的监督管理。</w:t>
      </w:r>
    </w:p>
    <w:p w14:paraId="1A6CA543">
      <w:pPr>
        <w:pStyle w:val="190"/>
        <w:ind w:firstLine="640"/>
        <w:rPr>
          <w:rFonts w:hint="default" w:ascii="Times New Roman" w:hAnsi="Times New Roman" w:cs="Times New Roman"/>
          <w:color w:val="000000"/>
          <w:szCs w:val="32"/>
        </w:rPr>
      </w:pPr>
      <w:r>
        <w:rPr>
          <w:rFonts w:ascii="Times New Roman" w:hAnsi="Times New Roman" w:eastAsia="楷体_GB2312" w:cs="Times New Roman"/>
          <w:color w:val="000000"/>
          <w:szCs w:val="32"/>
        </w:rPr>
        <w:t>（三）科学制定带量食谱。</w:t>
      </w:r>
      <w:r>
        <w:rPr>
          <w:rFonts w:ascii="Times New Roman" w:hAnsi="Times New Roman" w:cs="Times New Roman"/>
          <w:color w:val="000000"/>
          <w:szCs w:val="32"/>
        </w:rPr>
        <w:t>中小学校应科学制定带量食谱，存档备查，并将其作为确定食材采购需求的重要依据；有条件的地区可多校统一制定带量食谱；各地教育主管、卫生健康部门要做好工作指导。食谱制定要按照《学生餐营养指南》（WS/T 554）的相关要求，注重食物多样性，每餐应提供谷薯类、新鲜蔬菜水果、鱼禽肉蛋类、奶类及大豆类等4类食物中的3类及以上，午（晚）餐食物种类一般应达到6种</w:t>
      </w:r>
      <w:r>
        <w:rPr>
          <w:rFonts w:ascii="Times New Roman" w:hAnsi="Times New Roman" w:cs="Times New Roman"/>
        </w:rPr>
        <w:t>，每周为学生提供2次以上奶制品、大豆制品</w:t>
      </w:r>
      <w:r>
        <w:rPr>
          <w:rFonts w:ascii="Times New Roman" w:hAnsi="Times New Roman" w:cs="Times New Roman"/>
          <w:color w:val="000000"/>
          <w:szCs w:val="32"/>
        </w:rPr>
        <w:t>；鼓励运用学生电子营养师等膳食分析平台或软件合理搭配食物，确保碳水化合物、脂肪和蛋白质的供能比例适宜。中小学校应建立健全餐食供应数量动态调整和应急保障机制，确保食堂每日餐食供应满足师生需求。</w:t>
      </w:r>
    </w:p>
    <w:p w14:paraId="550CC644">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（四）加强食材供应商管理。</w:t>
      </w:r>
      <w:r>
        <w:rPr>
          <w:rFonts w:eastAsia="仿宋_GB2312"/>
          <w:snapToGrid w:val="0"/>
          <w:color w:val="000000"/>
          <w:kern w:val="0"/>
        </w:rPr>
        <w:t>市场监管部门要加强对食材供应商加工、贮存、配送等环节监管，确保食材供应商具备合法有效的食品生产经营资质，具有与供应食材品种、数量相适应的经营场所、人员配置、设施设备等，督促食材供应商全面落实食品安全主体责任，定期开展自查自纠、人员教育培训等。教育主管部门要指导学校完善食材供应商评价和退出机制，会同财政、市场监管、农业农村等部门加强对采购合同的管理指导，以及对大宗食材中标企业生产经营资质、信用等级、实际供应能力的核查并实行动态监督。</w:t>
      </w:r>
      <w:r>
        <w:rPr>
          <w:rFonts w:hint="eastAsia" w:eastAsia="仿宋_GB2312"/>
          <w:snapToGrid w:val="0"/>
          <w:color w:val="000000"/>
          <w:kern w:val="0"/>
        </w:rPr>
        <w:t>采购</w:t>
      </w:r>
      <w:r>
        <w:rPr>
          <w:rFonts w:hint="eastAsia" w:eastAsia="仿宋_GB2312"/>
          <w:snapToGrid w:val="0"/>
          <w:color w:val="000000"/>
          <w:kern w:val="0"/>
          <w:lang w:val="en-US" w:eastAsia="zh-CN"/>
        </w:rPr>
        <w:t>人</w:t>
      </w:r>
      <w:r>
        <w:rPr>
          <w:rFonts w:eastAsia="仿宋_GB2312"/>
          <w:snapToGrid w:val="0"/>
          <w:color w:val="000000"/>
          <w:kern w:val="0"/>
        </w:rPr>
        <w:t>应及时与食材供应商签订采购合同，明确食材供应商责任义务、场所人员、食材质量标准、采购价格、结算规则、配送验收、终止条件等方面具体要求，合同一年一签，不得随意变更条款，不得签订空白、阴阳合同等。</w:t>
      </w:r>
    </w:p>
    <w:p w14:paraId="661F111E">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（五）严格食材进货查验。</w:t>
      </w:r>
      <w:r>
        <w:rPr>
          <w:rFonts w:eastAsia="仿宋_GB2312"/>
          <w:snapToGrid w:val="0"/>
          <w:color w:val="000000"/>
          <w:kern w:val="0"/>
        </w:rPr>
        <w:t>学校要建立完善入校食材“双人或多人联检”查验制度，建立验收台账，确保食材送达后立即验收；要加强验收人员培训管理，并严格实行“定期轮换”和“随机组合”机制，不得强制或以自愿名义变相强制要求一线教师参与进货查验工作。学校食堂监控应覆盖验收区域，清晰展示查验情况。要建立不合格食材分类处置制度，留存不合格食材证据，如实记录不合格食材处置情况，将其作为供应商考核评价重要依据。学校查验发现存在严重腐败变质、霉变生虫、无合法来源等不合格情形的食材，不得直接退回供应商，应隔离存放，并立即报告属地教育主管和市场监管等相关部门。</w:t>
      </w:r>
    </w:p>
    <w:p w14:paraId="50E093C0">
      <w:pPr>
        <w:snapToGrid w:val="0"/>
        <w:spacing w:line="336" w:lineRule="auto"/>
        <w:ind w:firstLine="640" w:firstLineChars="200"/>
        <w:outlineLvl w:val="0"/>
        <w:rPr>
          <w:rFonts w:eastAsia="黑体"/>
          <w:snapToGrid w:val="0"/>
          <w:color w:val="000000"/>
          <w:kern w:val="0"/>
        </w:rPr>
      </w:pPr>
      <w:r>
        <w:rPr>
          <w:rFonts w:eastAsia="黑体"/>
          <w:snapToGrid w:val="0"/>
          <w:color w:val="000000"/>
          <w:kern w:val="0"/>
        </w:rPr>
        <w:t>二、完善膳食经费监管机制</w:t>
      </w:r>
    </w:p>
    <w:p w14:paraId="5290FD26">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（六）规范食材询价工作。</w:t>
      </w:r>
      <w:r>
        <w:rPr>
          <w:rFonts w:eastAsia="仿宋_GB2312"/>
          <w:snapToGrid w:val="0"/>
          <w:color w:val="000000"/>
          <w:kern w:val="0"/>
        </w:rPr>
        <w:t>食材采购</w:t>
      </w:r>
      <w:r>
        <w:rPr>
          <w:rFonts w:hint="eastAsia" w:eastAsia="仿宋_GB2312"/>
          <w:snapToGrid w:val="0"/>
          <w:color w:val="000000"/>
          <w:kern w:val="0"/>
          <w:lang w:val="en-US" w:eastAsia="zh-CN"/>
        </w:rPr>
        <w:t>人</w:t>
      </w:r>
      <w:r>
        <w:rPr>
          <w:rFonts w:eastAsia="仿宋_GB2312"/>
          <w:snapToGrid w:val="0"/>
          <w:color w:val="000000"/>
          <w:kern w:val="0"/>
        </w:rPr>
        <w:t>应建立健全食材询价制度，成立询价工作领导小组，多渠道组织开展询价，做好询价记录。询价组成员应至少包含教育主管部门或学校有关负责人、食堂管理人员等，人数不少于3人，建立定期轮换机制。食材供应商不得作为询价成员参与询价，严禁泄露询价计划、询价组成员等信息。鼓励邀请膳食监督家长委员会成员、教职工代表及市场监管等部门人员参与询价。果蔬类、肉类、蛋及蛋制品类、豆制品类等价格波动较大的，询价次数每月不少于1次；米面油类、奶类、干杂调味品类等价格波动较小的，询价次数每</w:t>
      </w:r>
      <w:r>
        <w:rPr>
          <w:rFonts w:hint="eastAsia" w:eastAsia="仿宋_GB2312"/>
          <w:snapToGrid w:val="0"/>
          <w:color w:val="000000"/>
          <w:kern w:val="0"/>
        </w:rPr>
        <w:t>两</w:t>
      </w:r>
      <w:r>
        <w:rPr>
          <w:rFonts w:eastAsia="仿宋_GB2312"/>
          <w:snapToGrid w:val="0"/>
          <w:color w:val="000000"/>
          <w:kern w:val="0"/>
        </w:rPr>
        <w:t>月不少于1次。有条件的县（市、区）教育主管部门可采用集中或多校划片方式进行询价，为基层减负。食材询价结果应及时在教育主管部门或学校官方网站、信息公示栏等线上线下平台公示，并将其作为确定食材结算基准价的重要依据，必要时可参考发展改革部门发布的价格监测信息，综合确定食材结算价格。</w:t>
      </w:r>
    </w:p>
    <w:p w14:paraId="1F4C70D3">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（七）规范饭菜价格核定。</w:t>
      </w:r>
      <w:r>
        <w:rPr>
          <w:rFonts w:eastAsia="仿宋_GB2312"/>
          <w:snapToGrid w:val="0"/>
          <w:color w:val="000000"/>
          <w:kern w:val="0"/>
        </w:rPr>
        <w:t>学校要坚持食堂公益性原则，依托食堂管理领导小组，建立餐标定价调价机制，严格执行饭菜价格核定集体研究和民主决策程序，充分征求教师代表、学生（家长）代表的意见。中小学校食堂和高校学生食堂基本大伙饭菜价格应低于当地校外合规餐饮同类同质同量饭菜价格，食堂特色档口饭菜价格不得高于当地校外合规餐饮同类同质同量饭菜价格。原则上同一县（市、区）范围内不同中小学校同类同质同量饭菜价格应基本一致。采取校外供餐模式的，属地教育主管部门和学校要组织家长代表、学生代表、教师代表、学校校外供餐管理人员，会同校外供餐单位，结合带量食谱合理核定价格。</w:t>
      </w:r>
    </w:p>
    <w:p w14:paraId="52911635">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（八）规范食堂收费管理。</w:t>
      </w:r>
      <w:r>
        <w:rPr>
          <w:rFonts w:eastAsia="仿宋_GB2312"/>
          <w:snapToGrid w:val="0"/>
          <w:color w:val="000000"/>
          <w:kern w:val="0"/>
        </w:rPr>
        <w:t>中小学校应明确一日三餐及加餐伙食费收费标准，于每学期开学时向师生家长公开。伙食费原则上采用“实时收费”或“后收费”方式收取，暂不具备条件的地区和学校可分阶段推行，2028年秋季学期开学前全面实施。新开办的学生食堂，第一学期可预收伙食费，并按实际就餐次数和餐标按月或按期结算、退费；对于毕业生，可预收最后1个月伙食费，但须在离校10个工作日内完成结算、退费。学校应制定伙食费退费管理办法，明确退费规则、标准等内容。学校应全面推行伙食费线上缴纳，由学生家长或学生直接将伙食费缴入学校指定的银行账户，确需现金缴纳的由学校按财务管理规定及时存入学校指定银行账户，鼓励有条件的学校探索人脸识别等智慧支付方式。伙食费不得由老师、家委会、食堂管理领导小组等集体或个人收取，严禁将伙食费转入个人账户或公款私存。严禁以任何名义向承包经营方收取承包费、管理费以及转嫁食堂房屋建设和维修、大型设备购置费用等。</w:t>
      </w:r>
    </w:p>
    <w:p w14:paraId="230DDB01">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（九）规范食堂费用支出。</w:t>
      </w:r>
      <w:r>
        <w:rPr>
          <w:rFonts w:eastAsia="仿宋_GB2312"/>
          <w:snapToGrid w:val="0"/>
          <w:color w:val="000000"/>
          <w:kern w:val="0"/>
        </w:rPr>
        <w:t>中小学校食堂收取的伙食费应全部用于食材、人工、水电燃料、低值易耗品、设施设备维修维护等供餐成本开支，不得用于发放非食堂职工福利、补助或学校其他无关支出。中小学校自主经营食堂食材成本占比原则上不低于伙食费收入的70%（规模在500人以下的学校不得低于65%）；高校学生食堂基本大伙食材成本占比原则上不低于伙食费收入的</w:t>
      </w:r>
      <w:r>
        <w:rPr>
          <w:rFonts w:hint="eastAsia" w:eastAsia="仿宋_GB2312"/>
          <w:snapToGrid w:val="0"/>
          <w:color w:val="000000"/>
          <w:kern w:val="0"/>
        </w:rPr>
        <w:t>60</w:t>
      </w:r>
      <w:r>
        <w:rPr>
          <w:rFonts w:eastAsia="仿宋_GB2312"/>
          <w:snapToGrid w:val="0"/>
          <w:color w:val="000000"/>
          <w:kern w:val="0"/>
        </w:rPr>
        <w:t>%。营养膳食补助资金要全部用于为学生提供</w:t>
      </w:r>
      <w:r>
        <w:rPr>
          <w:rFonts w:hint="eastAsia" w:eastAsia="仿宋_GB2312"/>
          <w:snapToGrid w:val="0"/>
          <w:color w:val="000000"/>
          <w:kern w:val="0"/>
        </w:rPr>
        <w:t>等值优质的</w:t>
      </w:r>
      <w:r>
        <w:rPr>
          <w:rFonts w:eastAsia="仿宋_GB2312"/>
          <w:snapToGrid w:val="0"/>
          <w:color w:val="000000"/>
          <w:kern w:val="0"/>
        </w:rPr>
        <w:t>营养膳食。不得将校园公共设施建设、行政办公经费等非食堂运营支出转嫁至食堂费用中。明确费用结算周期，及时规范结算，大额资金支出达到学校“三重一大”决策标准的，须经集体研究决策，完备审批支付资料，不拖欠、不预付。高校应结合内部制度用好食堂饭菜价格平抑基金，稳定学生食堂基本大伙饭菜价格。</w:t>
      </w:r>
    </w:p>
    <w:p w14:paraId="6597707B">
      <w:pPr>
        <w:snapToGrid w:val="0"/>
        <w:spacing w:line="336" w:lineRule="auto"/>
        <w:ind w:firstLine="640" w:firstLineChars="200"/>
        <w:outlineLvl w:val="1"/>
        <w:rPr>
          <w:rFonts w:eastAsia="仿宋_GB2312"/>
          <w:strike/>
          <w:snapToGrid w:val="0"/>
          <w:color w:val="000000"/>
          <w:kern w:val="0"/>
        </w:rPr>
      </w:pPr>
      <w:r>
        <w:rPr>
          <w:rFonts w:eastAsia="楷体_GB2312"/>
          <w:snapToGrid w:val="0"/>
          <w:color w:val="000000"/>
          <w:kern w:val="0"/>
        </w:rPr>
        <w:t>（十）规范核算食堂费用。</w:t>
      </w:r>
      <w:r>
        <w:rPr>
          <w:rFonts w:eastAsia="仿宋_GB2312"/>
          <w:snapToGrid w:val="0"/>
          <w:color w:val="000000"/>
          <w:kern w:val="0"/>
        </w:rPr>
        <w:t>自主经营食堂财务活动纳入学校统一管理，学校所属独立核算的食堂可单独开设</w:t>
      </w:r>
      <w:r>
        <w:rPr>
          <w:rFonts w:hint="eastAsia" w:eastAsia="仿宋_GB2312"/>
          <w:snapToGrid w:val="0"/>
          <w:color w:val="000000"/>
          <w:kern w:val="0"/>
        </w:rPr>
        <w:t>1个</w:t>
      </w:r>
      <w:r>
        <w:rPr>
          <w:rFonts w:eastAsia="仿宋_GB2312"/>
          <w:snapToGrid w:val="0"/>
          <w:color w:val="000000"/>
          <w:kern w:val="0"/>
        </w:rPr>
        <w:t>银行账户，可设置独立</w:t>
      </w:r>
      <w:r>
        <w:rPr>
          <w:rFonts w:hint="default" w:eastAsia="仿宋_GB2312"/>
          <w:snapToGrid w:val="0"/>
          <w:color w:val="000000"/>
          <w:kern w:val="0"/>
          <w:lang w:val="en-US"/>
        </w:rPr>
        <w:t>账套进行</w:t>
      </w:r>
      <w:r>
        <w:rPr>
          <w:rFonts w:eastAsia="仿宋_GB2312"/>
          <w:snapToGrid w:val="0"/>
          <w:color w:val="000000"/>
          <w:kern w:val="0"/>
        </w:rPr>
        <w:t>会计核算，实行同类型资金“统一管理、分账核算”，营养膳食补助资金要设立专门台账，按学期核算；食堂收支结余应转入下一会计年度继续使用，专项用于改善学生伙食</w:t>
      </w:r>
      <w:r>
        <w:rPr>
          <w:rFonts w:eastAsia="仿宋_GB2312"/>
          <w:color w:val="000000"/>
          <w:spacing w:val="4"/>
        </w:rPr>
        <w:t>、</w:t>
      </w:r>
      <w:r>
        <w:rPr>
          <w:rFonts w:hint="eastAsia" w:eastAsia="仿宋_GB2312"/>
          <w:snapToGrid w:val="0"/>
          <w:color w:val="000000"/>
          <w:kern w:val="0"/>
        </w:rPr>
        <w:t>更新食堂小型设施设备或平抑物价、以丰补欠</w:t>
      </w:r>
      <w:r>
        <w:rPr>
          <w:rFonts w:eastAsia="仿宋_GB2312"/>
          <w:snapToGrid w:val="0"/>
          <w:color w:val="000000"/>
          <w:kern w:val="0"/>
        </w:rPr>
        <w:t>，原则上餐费累计结余不超过年度收入的3%。采用承包经营或校外供餐的，原则上项目年净利润率不超过5%，学校应通过合同约定、报表审核、内部审计等方式，对其财务状况进行全过程监管，相关部门要强化承包经营食堂和供餐企业监管，严防虚增成本、套取利润。学校食堂所有收支必须使用合规票据，严禁“白条”入账。</w:t>
      </w:r>
    </w:p>
    <w:p w14:paraId="7DC30495">
      <w:pPr>
        <w:snapToGrid w:val="0"/>
        <w:spacing w:line="336" w:lineRule="auto"/>
        <w:ind w:firstLine="640" w:firstLineChars="200"/>
        <w:outlineLvl w:val="0"/>
        <w:rPr>
          <w:rFonts w:eastAsia="黑体"/>
          <w:snapToGrid w:val="0"/>
          <w:color w:val="000000"/>
          <w:kern w:val="0"/>
        </w:rPr>
      </w:pPr>
      <w:r>
        <w:rPr>
          <w:rFonts w:eastAsia="黑体"/>
          <w:snapToGrid w:val="0"/>
          <w:color w:val="000000"/>
          <w:kern w:val="0"/>
        </w:rPr>
        <w:t>三、构建协同高效的监管格局</w:t>
      </w:r>
    </w:p>
    <w:p w14:paraId="3D93C988">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（十一）加强部门协同监管。</w:t>
      </w:r>
      <w:r>
        <w:rPr>
          <w:rFonts w:eastAsia="仿宋_GB2312"/>
          <w:snapToGrid w:val="0"/>
          <w:color w:val="000000"/>
          <w:kern w:val="0"/>
        </w:rPr>
        <w:t>各地教育主管、财政、农业农村、卫生健康、市场监管等部门要建立“监管联动、数据联通、问题联处”协作机制，推动执法检查、审计监督、财会监督等贯通协同，定期召开联席会议，共享食材供应商基本情况以及食品安全监管等信息，协调解决食材供应链和膳食经费管理工作中发现的突出问题，对违规违纪违法等行为开展联合惩戒。</w:t>
      </w:r>
    </w:p>
    <w:p w14:paraId="69A7348E">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（十二）加强学校内外监督。</w:t>
      </w:r>
      <w:r>
        <w:rPr>
          <w:rFonts w:eastAsia="仿宋_GB2312"/>
          <w:snapToGrid w:val="0"/>
          <w:color w:val="000000"/>
          <w:kern w:val="0"/>
        </w:rPr>
        <w:t>落实学校食品安全主体责任，实行校（园）长负责制，明确校（园）长、分管副校（园）长（食品安全总监）、食品安全员和食材采购验收、加工制作售卖等人员的岗位职责，建立明责、尽责、追责、问责机制。学校要建立完善食堂人员岗位选聘、回避、定期轮换等制度，将人员岗位廉</w:t>
      </w:r>
      <w:bookmarkStart w:id="0" w:name="_GoBack"/>
      <w:bookmarkEnd w:id="0"/>
      <w:r>
        <w:rPr>
          <w:rFonts w:eastAsia="仿宋_GB2312"/>
          <w:snapToGrid w:val="0"/>
          <w:color w:val="000000"/>
          <w:kern w:val="0"/>
        </w:rPr>
        <w:t>洁风险防控嵌入食堂运营管理全链条。不得将校级领导干部、民办学校举办者、后勤部门负责人等人员的直系亲属安排在食材采购、验收、库管、财务、食堂经理等食堂运营关键岗位。要充分用好责任督学、膳食监督家长委员会、社会监督员等监督力量，畅通师生家长问题诉求反映渠道，做好食材采购、收费标准、财务收支等信息公示公开，强化社会监督。</w:t>
      </w:r>
    </w:p>
    <w:p w14:paraId="4E9816BC">
      <w:pPr>
        <w:snapToGrid w:val="0"/>
        <w:spacing w:line="336" w:lineRule="auto"/>
        <w:ind w:firstLine="640" w:firstLineChars="200"/>
        <w:outlineLvl w:val="1"/>
        <w:rPr>
          <w:rFonts w:eastAsia="仿宋_GB2312"/>
          <w:snapToGrid w:val="0"/>
          <w:color w:val="000000"/>
          <w:kern w:val="0"/>
        </w:rPr>
      </w:pPr>
      <w:r>
        <w:rPr>
          <w:rFonts w:eastAsia="楷体_GB2312"/>
          <w:snapToGrid w:val="0"/>
          <w:color w:val="000000"/>
          <w:kern w:val="0"/>
        </w:rPr>
        <w:t>（十三）推行食堂智慧监管。</w:t>
      </w:r>
      <w:r>
        <w:rPr>
          <w:rFonts w:eastAsia="仿宋_GB2312"/>
          <w:snapToGrid w:val="0"/>
          <w:color w:val="000000"/>
          <w:kern w:val="0"/>
        </w:rPr>
        <w:t>市场监管部门要积极推进校园食品安全“互联网+AI监管”，会同教育主管部门指导食材供应商、校外供餐单位、学校食堂安装可视化监控设备，确保食材验收、加工、贮存、配送等关键环节全覆盖，并将视频接入市场监管部门“互联网+AI监管”平台，逐步实现可视化线上监管和智能预警。教育主管部门要</w:t>
      </w:r>
      <w:r>
        <w:rPr>
          <w:rFonts w:hint="eastAsia" w:eastAsia="仿宋_GB2312"/>
          <w:snapToGrid w:val="0"/>
          <w:color w:val="000000"/>
          <w:kern w:val="0"/>
        </w:rPr>
        <w:t>加强</w:t>
      </w:r>
      <w:r>
        <w:rPr>
          <w:rFonts w:eastAsia="仿宋_GB2312"/>
          <w:snapToGrid w:val="0"/>
          <w:color w:val="000000"/>
          <w:kern w:val="0"/>
        </w:rPr>
        <w:t>学校食堂智能化管理，指导学校运用先进技术手段，优化食品安全管控、膳食经费收支、就餐信息统计等环节管理，提升“校园餐”信息化管理水平。</w:t>
      </w:r>
    </w:p>
    <w:p w14:paraId="3BACFA65">
      <w:pPr>
        <w:snapToGrid w:val="0"/>
        <w:spacing w:line="336" w:lineRule="auto"/>
        <w:ind w:firstLine="640" w:firstLineChars="200"/>
        <w:outlineLvl w:val="1"/>
        <w:rPr>
          <w:rFonts w:eastAsia="仿宋_GB2312"/>
          <w:snapToGrid w:val="0"/>
          <w:color w:val="000000"/>
          <w:kern w:val="0"/>
        </w:rPr>
      </w:pPr>
      <w:r>
        <w:rPr>
          <w:rFonts w:eastAsia="仿宋_GB2312"/>
          <w:snapToGrid w:val="0"/>
          <w:color w:val="000000"/>
          <w:kern w:val="0"/>
        </w:rPr>
        <w:t>本通知自202</w:t>
      </w:r>
      <w:r>
        <w:rPr>
          <w:rFonts w:hint="eastAsia" w:eastAsia="仿宋_GB2312"/>
          <w:snapToGrid w:val="0"/>
          <w:color w:val="000000"/>
          <w:kern w:val="0"/>
        </w:rPr>
        <w:t>6年</w:t>
      </w:r>
      <w:r>
        <w:rPr>
          <w:rFonts w:hint="eastAsia" w:eastAsia="仿宋_GB2312"/>
          <w:snapToGrid w:val="0"/>
          <w:color w:val="000000"/>
          <w:kern w:val="0"/>
          <w:lang w:val="en-US" w:eastAsia="zh-CN"/>
        </w:rPr>
        <w:t>10</w:t>
      </w:r>
      <w:r>
        <w:rPr>
          <w:rFonts w:hint="default" w:eastAsia="仿宋_GB2312"/>
          <w:snapToGrid w:val="0"/>
          <w:color w:val="000000"/>
          <w:kern w:val="0"/>
        </w:rPr>
        <w:t>月</w:t>
      </w:r>
      <w:r>
        <w:rPr>
          <w:rFonts w:hint="eastAsia" w:eastAsia="仿宋_GB2312"/>
          <w:snapToGrid w:val="0"/>
          <w:color w:val="000000"/>
          <w:kern w:val="0"/>
          <w:lang w:val="en-US" w:eastAsia="zh-CN"/>
        </w:rPr>
        <w:t>18</w:t>
      </w:r>
      <w:r>
        <w:rPr>
          <w:rFonts w:hint="default" w:eastAsia="仿宋_GB2312"/>
          <w:snapToGrid w:val="0"/>
          <w:color w:val="000000"/>
          <w:kern w:val="0"/>
        </w:rPr>
        <w:t>日</w:t>
      </w:r>
      <w:r>
        <w:rPr>
          <w:rFonts w:hint="eastAsia" w:eastAsia="仿宋_GB2312"/>
          <w:snapToGrid w:val="0"/>
          <w:color w:val="000000"/>
          <w:kern w:val="0"/>
        </w:rPr>
        <w:t>起执行，有效期5年。</w:t>
      </w:r>
    </w:p>
    <w:p w14:paraId="760ED532">
      <w:pPr>
        <w:snapToGrid w:val="0"/>
        <w:spacing w:line="336" w:lineRule="auto"/>
        <w:ind w:firstLine="640" w:firstLineChars="200"/>
        <w:rPr>
          <w:rFonts w:eastAsia="仿宋_GB2312"/>
          <w:snapToGrid w:val="0"/>
          <w:color w:val="000000"/>
          <w:kern w:val="0"/>
        </w:rPr>
      </w:pPr>
    </w:p>
    <w:p w14:paraId="3215DD92">
      <w:pPr>
        <w:pStyle w:val="198"/>
        <w:snapToGrid w:val="0"/>
        <w:spacing w:after="0" w:line="336" w:lineRule="auto"/>
        <w:ind w:left="0" w:leftChars="0" w:firstLine="640"/>
        <w:rPr>
          <w:rFonts w:ascii="Times New Roman" w:hAnsi="Times New Roman" w:eastAsia="仿宋_GB2312"/>
          <w:snapToGrid w:val="0"/>
          <w:color w:val="000000"/>
          <w:kern w:val="0"/>
          <w:sz w:val="32"/>
          <w:szCs w:val="32"/>
        </w:rPr>
      </w:pPr>
    </w:p>
    <w:p w14:paraId="781F80F2">
      <w:pPr>
        <w:keepNext w:val="0"/>
        <w:keepLines w:val="0"/>
        <w:pageBreakBefore w:val="0"/>
        <w:widowControl w:val="0"/>
        <w:kinsoku/>
        <w:wordWrap/>
        <w:overflowPunct/>
        <w:topLinePunct w:val="0"/>
        <w:autoSpaceDE/>
        <w:autoSpaceDN/>
        <w:bidi w:val="0"/>
        <w:adjustRightInd/>
        <w:snapToGrid w:val="0"/>
        <w:spacing w:line="240" w:lineRule="auto"/>
        <w:ind w:firstLine="640" w:firstLineChars="200"/>
        <w:textAlignment w:val="auto"/>
        <w:rPr>
          <w:rFonts w:hint="eastAsia" w:eastAsia="仿宋_GB2312"/>
          <w:snapToGrid w:val="0"/>
          <w:color w:val="000000"/>
          <w:kern w:val="0"/>
        </w:rPr>
      </w:pPr>
      <w:r>
        <w:rPr>
          <w:rFonts w:eastAsia="仿宋_GB2312"/>
          <w:snapToGrid w:val="0"/>
          <w:color w:val="000000"/>
          <w:kern w:val="0"/>
        </w:rPr>
        <w:t>四川省教育厅      四川省财政厅</w:t>
      </w:r>
      <w:r>
        <w:rPr>
          <w:rFonts w:hint="eastAsia" w:eastAsia="仿宋_GB2312"/>
          <w:snapToGrid w:val="0"/>
          <w:color w:val="000000"/>
          <w:kern w:val="0"/>
          <w:lang w:val="en-US" w:eastAsia="zh-CN"/>
        </w:rPr>
        <w:t xml:space="preserve">     </w:t>
      </w:r>
      <w:r>
        <w:rPr>
          <w:rFonts w:hint="eastAsia" w:eastAsia="仿宋_GB2312"/>
          <w:snapToGrid w:val="0"/>
          <w:color w:val="000000"/>
          <w:kern w:val="0"/>
        </w:rPr>
        <w:t>四川省人力资源和</w:t>
      </w:r>
    </w:p>
    <w:p w14:paraId="0158711F">
      <w:pPr>
        <w:keepNext w:val="0"/>
        <w:keepLines w:val="0"/>
        <w:pageBreakBefore w:val="0"/>
        <w:widowControl w:val="0"/>
        <w:kinsoku/>
        <w:wordWrap/>
        <w:overflowPunct/>
        <w:topLinePunct w:val="0"/>
        <w:autoSpaceDE/>
        <w:autoSpaceDN/>
        <w:bidi w:val="0"/>
        <w:adjustRightInd/>
        <w:snapToGrid w:val="0"/>
        <w:spacing w:line="240" w:lineRule="auto"/>
        <w:ind w:firstLine="6720" w:firstLineChars="2100"/>
        <w:textAlignment w:val="auto"/>
        <w:rPr>
          <w:rFonts w:hint="eastAsia" w:eastAsia="仿宋_GB2312"/>
          <w:snapToGrid w:val="0"/>
          <w:color w:val="000000"/>
          <w:kern w:val="0"/>
        </w:rPr>
      </w:pPr>
      <w:r>
        <w:rPr>
          <w:rFonts w:hint="eastAsia" w:eastAsia="仿宋_GB2312"/>
          <w:snapToGrid w:val="0"/>
          <w:color w:val="000000"/>
          <w:kern w:val="0"/>
        </w:rPr>
        <w:t xml:space="preserve">社会保障厅   </w:t>
      </w:r>
    </w:p>
    <w:p w14:paraId="243A2C8A">
      <w:pPr>
        <w:snapToGrid w:val="0"/>
        <w:spacing w:line="336" w:lineRule="auto"/>
        <w:ind w:firstLine="640" w:firstLineChars="200"/>
        <w:rPr>
          <w:rFonts w:eastAsia="仿宋_GB2312"/>
          <w:snapToGrid w:val="0"/>
          <w:color w:val="000000"/>
          <w:kern w:val="0"/>
        </w:rPr>
      </w:pPr>
    </w:p>
    <w:p w14:paraId="570D26DB">
      <w:pPr>
        <w:snapToGrid w:val="0"/>
        <w:spacing w:line="336" w:lineRule="auto"/>
        <w:ind w:firstLine="640" w:firstLineChars="200"/>
        <w:rPr>
          <w:rFonts w:eastAsia="仿宋_GB2312"/>
          <w:snapToGrid w:val="0"/>
          <w:color w:val="000000"/>
          <w:kern w:val="0"/>
        </w:rPr>
      </w:pPr>
      <w:r>
        <w:rPr>
          <w:rFonts w:eastAsia="仿宋_GB2312"/>
          <w:snapToGrid w:val="0"/>
          <w:color w:val="000000"/>
          <w:kern w:val="0"/>
        </w:rPr>
        <w:t xml:space="preserve">四川省农业农村厅        </w:t>
      </w:r>
      <w:r>
        <w:rPr>
          <w:rFonts w:hint="eastAsia" w:eastAsia="仿宋_GB2312"/>
          <w:snapToGrid w:val="0"/>
          <w:color w:val="000000"/>
          <w:kern w:val="0"/>
          <w:lang w:val="en-US" w:eastAsia="zh-CN"/>
        </w:rPr>
        <w:t xml:space="preserve">  </w:t>
      </w:r>
      <w:r>
        <w:rPr>
          <w:rFonts w:eastAsia="仿宋_GB2312"/>
          <w:snapToGrid w:val="0"/>
          <w:color w:val="000000"/>
          <w:kern w:val="0"/>
        </w:rPr>
        <w:t xml:space="preserve">  </w:t>
      </w:r>
      <w:r>
        <w:rPr>
          <w:rFonts w:hint="eastAsia" w:eastAsia="仿宋_GB2312"/>
          <w:snapToGrid w:val="0"/>
          <w:color w:val="000000"/>
          <w:kern w:val="0"/>
          <w:lang w:val="en-US" w:eastAsia="zh-CN"/>
        </w:rPr>
        <w:t xml:space="preserve"> </w:t>
      </w:r>
      <w:r>
        <w:rPr>
          <w:rFonts w:eastAsia="仿宋_GB2312"/>
          <w:snapToGrid w:val="0"/>
          <w:color w:val="000000"/>
          <w:kern w:val="0"/>
        </w:rPr>
        <w:t xml:space="preserve"> 四川省卫生健康委员会</w:t>
      </w:r>
    </w:p>
    <w:p w14:paraId="48659704">
      <w:pPr>
        <w:snapToGrid w:val="0"/>
        <w:spacing w:line="336" w:lineRule="auto"/>
        <w:ind w:firstLine="640" w:firstLineChars="200"/>
        <w:rPr>
          <w:rFonts w:eastAsia="仿宋_GB2312"/>
          <w:snapToGrid w:val="0"/>
          <w:color w:val="000000"/>
          <w:kern w:val="0"/>
        </w:rPr>
      </w:pPr>
    </w:p>
    <w:p w14:paraId="3123F29C">
      <w:pPr>
        <w:snapToGrid w:val="0"/>
        <w:spacing w:line="336" w:lineRule="auto"/>
        <w:ind w:firstLine="640" w:firstLineChars="200"/>
        <w:rPr>
          <w:rFonts w:eastAsia="仿宋_GB2312"/>
          <w:snapToGrid w:val="0"/>
          <w:color w:val="000000"/>
          <w:kern w:val="0"/>
        </w:rPr>
      </w:pPr>
      <w:r>
        <w:rPr>
          <w:rFonts w:eastAsia="仿宋_GB2312"/>
          <w:snapToGrid w:val="0"/>
          <w:color w:val="000000"/>
          <w:kern w:val="0"/>
        </w:rPr>
        <w:t>四川省审计厅</w:t>
      </w:r>
      <w:r>
        <w:rPr>
          <w:rFonts w:hint="eastAsia" w:eastAsia="仿宋_GB2312"/>
          <w:snapToGrid w:val="0"/>
          <w:color w:val="000000"/>
          <w:kern w:val="0"/>
          <w:lang w:val="en-US" w:eastAsia="zh-CN"/>
        </w:rPr>
        <w:t xml:space="preserve">                  </w:t>
      </w:r>
      <w:r>
        <w:rPr>
          <w:rFonts w:eastAsia="仿宋_GB2312"/>
          <w:snapToGrid w:val="0"/>
          <w:color w:val="000000"/>
          <w:kern w:val="0"/>
        </w:rPr>
        <w:t>四川省市场监督管理局</w:t>
      </w:r>
    </w:p>
    <w:p w14:paraId="5BAFA1FF">
      <w:pPr>
        <w:adjustRightInd w:val="0"/>
        <w:snapToGrid w:val="0"/>
        <w:spacing w:line="336" w:lineRule="auto"/>
        <w:ind w:firstLine="1280" w:firstLineChars="400"/>
        <w:jc w:val="center"/>
        <w:rPr>
          <w:rFonts w:eastAsia="仿宋_GB2312"/>
          <w:snapToGrid w:val="0"/>
          <w:color w:val="000000"/>
          <w:kern w:val="0"/>
        </w:rPr>
      </w:pPr>
      <w:r>
        <w:rPr>
          <w:rFonts w:eastAsia="仿宋_GB2312"/>
          <w:snapToGrid w:val="0"/>
          <w:color w:val="000000"/>
          <w:kern w:val="0"/>
        </w:rPr>
        <w:t xml:space="preserve">                    </w:t>
      </w:r>
      <w:r>
        <w:rPr>
          <w:rFonts w:hint="eastAsia" w:eastAsia="仿宋_GB2312"/>
          <w:snapToGrid w:val="0"/>
          <w:color w:val="000000"/>
          <w:kern w:val="0"/>
          <w:lang w:val="en-US" w:eastAsia="zh-CN"/>
        </w:rPr>
        <w:t xml:space="preserve">    </w:t>
      </w:r>
      <w:r>
        <w:rPr>
          <w:rFonts w:eastAsia="仿宋_GB2312"/>
          <w:snapToGrid w:val="0"/>
          <w:color w:val="000000"/>
          <w:kern w:val="0"/>
        </w:rPr>
        <w:t xml:space="preserve"> </w:t>
      </w:r>
    </w:p>
    <w:p w14:paraId="4B1F2ACE">
      <w:pPr>
        <w:adjustRightInd w:val="0"/>
        <w:snapToGrid w:val="0"/>
        <w:spacing w:line="336" w:lineRule="auto"/>
        <w:ind w:firstLine="1280" w:firstLineChars="400"/>
        <w:jc w:val="right"/>
        <w:rPr>
          <w:bCs/>
          <w:snapToGrid w:val="0"/>
          <w:color w:val="000000"/>
          <w:kern w:val="0"/>
          <w:sz w:val="2"/>
          <w:szCs w:val="2"/>
        </w:rPr>
      </w:pPr>
      <w:r>
        <w:rPr>
          <w:rFonts w:eastAsia="仿宋_GB2312"/>
          <w:snapToGrid w:val="0"/>
          <w:color w:val="000000"/>
          <w:kern w:val="0"/>
        </w:rPr>
        <w:t>2026年</w:t>
      </w:r>
      <w:r>
        <w:rPr>
          <w:rFonts w:hint="eastAsia" w:eastAsia="仿宋_GB2312"/>
          <w:snapToGrid w:val="0"/>
          <w:color w:val="000000"/>
          <w:kern w:val="0"/>
        </w:rPr>
        <w:t>9</w:t>
      </w:r>
      <w:r>
        <w:rPr>
          <w:rFonts w:eastAsia="仿宋_GB2312"/>
          <w:snapToGrid w:val="0"/>
          <w:color w:val="000000"/>
          <w:kern w:val="0"/>
        </w:rPr>
        <w:t>月</w:t>
      </w:r>
      <w:r>
        <w:rPr>
          <w:rFonts w:hint="eastAsia" w:eastAsia="仿宋_GB2312"/>
          <w:snapToGrid w:val="0"/>
          <w:color w:val="000000"/>
          <w:kern w:val="0"/>
          <w:lang w:val="en-US" w:eastAsia="zh-CN"/>
        </w:rPr>
        <w:t>18</w:t>
      </w:r>
      <w:r>
        <w:rPr>
          <w:rFonts w:eastAsia="仿宋_GB2312"/>
          <w:snapToGrid w:val="0"/>
          <w:color w:val="000000"/>
          <w:kern w:val="0"/>
        </w:rPr>
        <w:t>日</w:t>
      </w:r>
    </w:p>
    <w:sectPr>
      <w:footerReference r:id="rId3" w:type="default"/>
      <w:footerReference r:id="rId4" w:type="even"/>
      <w:pgSz w:w="11906" w:h="16838"/>
      <w:pgMar w:top="2098" w:right="1531" w:bottom="1985" w:left="1531" w:header="1701" w:footer="1588" w:gutter="0"/>
      <w:cols w:space="1701"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07ECC">
    <w:pPr>
      <w:pStyle w:val="194"/>
      <w:framePr w:wrap="around" w:vAnchor="text" w:hAnchor="margin" w:xAlign="outside" w:y="1"/>
      <w:ind w:right="320" w:rightChars="100"/>
      <w:rPr>
        <w:rStyle w:val="200"/>
        <w:rFonts w:ascii="宋体" w:hAnsi="宋体"/>
        <w:sz w:val="28"/>
        <w:szCs w:val="28"/>
      </w:rPr>
    </w:pPr>
    <w:r>
      <w:rPr>
        <w:rStyle w:val="200"/>
        <w:rFonts w:hint="eastAsia" w:ascii="宋体" w:hAnsi="宋体"/>
        <w:sz w:val="28"/>
        <w:szCs w:val="28"/>
      </w:rPr>
      <w:t xml:space="preserve">— </w:t>
    </w:r>
    <w:r>
      <w:rPr>
        <w:rStyle w:val="200"/>
        <w:rFonts w:ascii="宋体" w:hAnsi="宋体"/>
        <w:sz w:val="28"/>
        <w:szCs w:val="28"/>
      </w:rPr>
      <w:fldChar w:fldCharType="begin"/>
    </w:r>
    <w:r>
      <w:rPr>
        <w:rStyle w:val="200"/>
        <w:rFonts w:ascii="宋体" w:hAnsi="宋体"/>
        <w:sz w:val="28"/>
        <w:szCs w:val="28"/>
      </w:rPr>
      <w:instrText xml:space="preserve">PAGE  </w:instrText>
    </w:r>
    <w:r>
      <w:rPr>
        <w:rStyle w:val="200"/>
        <w:rFonts w:ascii="宋体" w:hAnsi="宋体"/>
        <w:sz w:val="28"/>
        <w:szCs w:val="28"/>
      </w:rPr>
      <w:fldChar w:fldCharType="separate"/>
    </w:r>
    <w:r>
      <w:rPr>
        <w:rStyle w:val="200"/>
        <w:rFonts w:ascii="宋体" w:hAnsi="宋体"/>
        <w:sz w:val="28"/>
        <w:szCs w:val="28"/>
      </w:rPr>
      <w:t>1</w:t>
    </w:r>
    <w:r>
      <w:rPr>
        <w:rStyle w:val="200"/>
        <w:rFonts w:ascii="宋体" w:hAnsi="宋体"/>
        <w:sz w:val="28"/>
        <w:szCs w:val="28"/>
      </w:rPr>
      <w:fldChar w:fldCharType="end"/>
    </w:r>
    <w:r>
      <w:rPr>
        <w:rStyle w:val="200"/>
        <w:rFonts w:hint="eastAsia" w:ascii="宋体" w:hAnsi="宋体"/>
        <w:sz w:val="28"/>
        <w:szCs w:val="28"/>
      </w:rPr>
      <w:t xml:space="preserve"> —</w:t>
    </w:r>
  </w:p>
  <w:p w14:paraId="6BFD4AA3">
    <w:pPr>
      <w:pStyle w:val="194"/>
      <w:ind w:right="567" w:firstLine="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3E50">
    <w:pPr>
      <w:pStyle w:val="194"/>
      <w:framePr w:wrap="around" w:vAnchor="text" w:hAnchor="margin" w:xAlign="outside" w:y="1"/>
      <w:ind w:left="320" w:leftChars="100"/>
      <w:rPr>
        <w:rStyle w:val="200"/>
        <w:rFonts w:ascii="宋体" w:hAnsi="宋体"/>
        <w:sz w:val="28"/>
        <w:szCs w:val="28"/>
      </w:rPr>
    </w:pPr>
    <w:r>
      <w:rPr>
        <w:rStyle w:val="200"/>
        <w:rFonts w:hint="eastAsia" w:ascii="宋体" w:hAnsi="宋体"/>
        <w:sz w:val="28"/>
        <w:szCs w:val="28"/>
      </w:rPr>
      <w:t xml:space="preserve">— </w:t>
    </w:r>
    <w:r>
      <w:rPr>
        <w:rStyle w:val="200"/>
        <w:rFonts w:ascii="宋体" w:hAnsi="宋体"/>
        <w:sz w:val="28"/>
        <w:szCs w:val="28"/>
      </w:rPr>
      <w:fldChar w:fldCharType="begin"/>
    </w:r>
    <w:r>
      <w:rPr>
        <w:rStyle w:val="200"/>
        <w:rFonts w:ascii="宋体" w:hAnsi="宋体"/>
        <w:sz w:val="28"/>
        <w:szCs w:val="28"/>
      </w:rPr>
      <w:instrText xml:space="preserve">PAGE  </w:instrText>
    </w:r>
    <w:r>
      <w:rPr>
        <w:rStyle w:val="200"/>
        <w:rFonts w:ascii="宋体" w:hAnsi="宋体"/>
        <w:sz w:val="28"/>
        <w:szCs w:val="28"/>
      </w:rPr>
      <w:fldChar w:fldCharType="separate"/>
    </w:r>
    <w:r>
      <w:rPr>
        <w:rStyle w:val="200"/>
        <w:rFonts w:ascii="宋体" w:hAnsi="宋体"/>
        <w:sz w:val="28"/>
        <w:szCs w:val="28"/>
      </w:rPr>
      <w:t>2</w:t>
    </w:r>
    <w:r>
      <w:rPr>
        <w:rStyle w:val="200"/>
        <w:rFonts w:ascii="宋体" w:hAnsi="宋体"/>
        <w:sz w:val="28"/>
        <w:szCs w:val="28"/>
      </w:rPr>
      <w:fldChar w:fldCharType="end"/>
    </w:r>
    <w:r>
      <w:rPr>
        <w:rStyle w:val="200"/>
        <w:rFonts w:hint="eastAsia" w:ascii="宋体" w:hAnsi="宋体"/>
        <w:sz w:val="28"/>
        <w:szCs w:val="28"/>
      </w:rPr>
      <w:t xml:space="preserve"> —</w:t>
    </w:r>
  </w:p>
  <w:p w14:paraId="23B62B87">
    <w:pPr>
      <w:pStyle w:val="19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evenAndOddHeaders w:val="1"/>
  <w:drawingGridHorizontalSpacing w:val="0"/>
  <w:drawingGridVerticalSpacing w:val="312"/>
  <w:displayHorizontalDrawingGridEvery w:val="0"/>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0A2"/>
    <w:rsid w:val="00016D89"/>
    <w:rsid w:val="000633C2"/>
    <w:rsid w:val="00065E83"/>
    <w:rsid w:val="0017443A"/>
    <w:rsid w:val="00370493"/>
    <w:rsid w:val="00490212"/>
    <w:rsid w:val="00617D69"/>
    <w:rsid w:val="00633059"/>
    <w:rsid w:val="007C2004"/>
    <w:rsid w:val="00895A3C"/>
    <w:rsid w:val="008B5702"/>
    <w:rsid w:val="009C40A2"/>
    <w:rsid w:val="009D2BF0"/>
    <w:rsid w:val="00A417C8"/>
    <w:rsid w:val="00B8044D"/>
    <w:rsid w:val="00BA20E7"/>
    <w:rsid w:val="00BB3D40"/>
    <w:rsid w:val="00E039CB"/>
    <w:rsid w:val="00EF59D2"/>
    <w:rsid w:val="02987B74"/>
    <w:rsid w:val="032C2A11"/>
    <w:rsid w:val="06713DD1"/>
    <w:rsid w:val="069B7C96"/>
    <w:rsid w:val="0AEC007C"/>
    <w:rsid w:val="0EBE0962"/>
    <w:rsid w:val="127C7A20"/>
    <w:rsid w:val="13724804"/>
    <w:rsid w:val="14E26FDD"/>
    <w:rsid w:val="17F752F5"/>
    <w:rsid w:val="1A2A46F0"/>
    <w:rsid w:val="1E546BED"/>
    <w:rsid w:val="23995D54"/>
    <w:rsid w:val="25677AEB"/>
    <w:rsid w:val="2BDB585E"/>
    <w:rsid w:val="2C5128E5"/>
    <w:rsid w:val="2D807AA5"/>
    <w:rsid w:val="319C5EB8"/>
    <w:rsid w:val="341E1D1F"/>
    <w:rsid w:val="3B1D4814"/>
    <w:rsid w:val="3E7568EB"/>
    <w:rsid w:val="3FC43AE1"/>
    <w:rsid w:val="3FF522E9"/>
    <w:rsid w:val="402C39F4"/>
    <w:rsid w:val="405D09DB"/>
    <w:rsid w:val="42A87C56"/>
    <w:rsid w:val="465D2233"/>
    <w:rsid w:val="4B2D00A4"/>
    <w:rsid w:val="4B4F59D0"/>
    <w:rsid w:val="4FD53168"/>
    <w:rsid w:val="50DC2E8F"/>
    <w:rsid w:val="53E15EEB"/>
    <w:rsid w:val="55996479"/>
    <w:rsid w:val="570B2CBD"/>
    <w:rsid w:val="5748081E"/>
    <w:rsid w:val="5A213F24"/>
    <w:rsid w:val="5DE2D94C"/>
    <w:rsid w:val="5E8C17BE"/>
    <w:rsid w:val="60B407E8"/>
    <w:rsid w:val="621A593E"/>
    <w:rsid w:val="624531AC"/>
    <w:rsid w:val="62741A08"/>
    <w:rsid w:val="659C244D"/>
    <w:rsid w:val="65D11EFE"/>
    <w:rsid w:val="67380B86"/>
    <w:rsid w:val="676034DA"/>
    <w:rsid w:val="6DC4111C"/>
    <w:rsid w:val="72D6671B"/>
    <w:rsid w:val="73885A64"/>
    <w:rsid w:val="76AF5B1B"/>
    <w:rsid w:val="79CA4EDE"/>
    <w:rsid w:val="7B345B79"/>
    <w:rsid w:val="7C1745DC"/>
    <w:rsid w:val="FD91145D"/>
    <w:rsid w:val="FFF6C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3">
    <w:name w:val="heading 1"/>
    <w:basedOn w:val="1"/>
    <w:next w:val="1"/>
    <w:link w:val="40"/>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link w:val="41"/>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42"/>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43"/>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44"/>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45"/>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46"/>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47"/>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48"/>
    <w:unhideWhenUsed/>
    <w:qFormat/>
    <w:uiPriority w:val="9"/>
    <w:pPr>
      <w:keepNext/>
      <w:keepLines/>
      <w:spacing w:before="320" w:after="200"/>
      <w:outlineLvl w:val="8"/>
    </w:pPr>
    <w:rPr>
      <w:rFonts w:ascii="Arial" w:hAnsi="Arial" w:eastAsia="Arial" w:cs="Arial"/>
      <w:i/>
      <w:iCs/>
      <w:sz w:val="21"/>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customStyle="1" w:styleId="2">
    <w:name w:val="正文文本1"/>
    <w:basedOn w:val="1"/>
    <w:qFormat/>
    <w:uiPriority w:val="0"/>
    <w:pPr>
      <w:spacing w:after="120"/>
    </w:pPr>
    <w:rPr>
      <w:kern w:val="0"/>
      <w:sz w:val="20"/>
    </w:r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annotation text"/>
    <w:basedOn w:val="1"/>
    <w:link w:val="205"/>
    <w:semiHidden/>
    <w:unhideWhenUsed/>
    <w:qFormat/>
    <w:uiPriority w:val="99"/>
    <w:pPr>
      <w:jc w:val="left"/>
    </w:pPr>
  </w:style>
  <w:style w:type="paragraph" w:styleId="15">
    <w:name w:val="Body Text"/>
    <w:basedOn w:val="1"/>
    <w:next w:val="1"/>
    <w:link w:val="203"/>
    <w:qFormat/>
    <w:uiPriority w:val="99"/>
    <w:rPr>
      <w:rFonts w:ascii="Calibri" w:hAnsi="Calibri" w:eastAsia="仿宋" w:cs="Calibri"/>
      <w:sz w:val="21"/>
    </w:rPr>
  </w:style>
  <w:style w:type="paragraph" w:styleId="16">
    <w:name w:val="toc 5"/>
    <w:basedOn w:val="1"/>
    <w:next w:val="1"/>
    <w:unhideWhenUsed/>
    <w:qFormat/>
    <w:uiPriority w:val="39"/>
    <w:pPr>
      <w:spacing w:after="57"/>
      <w:ind w:left="1134"/>
    </w:pPr>
  </w:style>
  <w:style w:type="paragraph" w:styleId="17">
    <w:name w:val="toc 3"/>
    <w:basedOn w:val="1"/>
    <w:next w:val="1"/>
    <w:unhideWhenUsed/>
    <w:qFormat/>
    <w:uiPriority w:val="39"/>
    <w:pPr>
      <w:spacing w:after="57"/>
      <w:ind w:left="567"/>
    </w:pPr>
  </w:style>
  <w:style w:type="paragraph" w:styleId="18">
    <w:name w:val="toc 8"/>
    <w:basedOn w:val="1"/>
    <w:next w:val="1"/>
    <w:unhideWhenUsed/>
    <w:qFormat/>
    <w:uiPriority w:val="39"/>
    <w:pPr>
      <w:spacing w:after="57"/>
      <w:ind w:left="1984"/>
    </w:pPr>
  </w:style>
  <w:style w:type="paragraph" w:styleId="19">
    <w:name w:val="endnote text"/>
    <w:basedOn w:val="1"/>
    <w:link w:val="186"/>
    <w:semiHidden/>
    <w:unhideWhenUsed/>
    <w:qFormat/>
    <w:uiPriority w:val="99"/>
    <w:rPr>
      <w:sz w:val="20"/>
    </w:rPr>
  </w:style>
  <w:style w:type="paragraph" w:styleId="20">
    <w:name w:val="Balloon Text"/>
    <w:basedOn w:val="1"/>
    <w:link w:val="204"/>
    <w:semiHidden/>
    <w:unhideWhenUsed/>
    <w:qFormat/>
    <w:uiPriority w:val="99"/>
    <w:rPr>
      <w:sz w:val="18"/>
      <w:szCs w:val="18"/>
    </w:rPr>
  </w:style>
  <w:style w:type="paragraph" w:styleId="21">
    <w:name w:val="footer"/>
    <w:basedOn w:val="1"/>
    <w:link w:val="59"/>
    <w:unhideWhenUsed/>
    <w:qFormat/>
    <w:uiPriority w:val="99"/>
    <w:pPr>
      <w:tabs>
        <w:tab w:val="center" w:pos="7143"/>
        <w:tab w:val="right" w:pos="14287"/>
      </w:tabs>
    </w:pPr>
  </w:style>
  <w:style w:type="paragraph" w:styleId="22">
    <w:name w:val="header"/>
    <w:basedOn w:val="1"/>
    <w:link w:val="57"/>
    <w:unhideWhenUsed/>
    <w:qFormat/>
    <w:uiPriority w:val="99"/>
    <w:pPr>
      <w:tabs>
        <w:tab w:val="center" w:pos="7143"/>
        <w:tab w:val="right" w:pos="14287"/>
      </w:tabs>
    </w:pPr>
  </w:style>
  <w:style w:type="paragraph" w:styleId="23">
    <w:name w:val="toc 1"/>
    <w:basedOn w:val="1"/>
    <w:next w:val="1"/>
    <w:unhideWhenUsed/>
    <w:qFormat/>
    <w:uiPriority w:val="39"/>
    <w:pPr>
      <w:spacing w:after="57"/>
    </w:pPr>
  </w:style>
  <w:style w:type="paragraph" w:styleId="24">
    <w:name w:val="toc 4"/>
    <w:basedOn w:val="1"/>
    <w:next w:val="1"/>
    <w:unhideWhenUsed/>
    <w:qFormat/>
    <w:uiPriority w:val="39"/>
    <w:pPr>
      <w:spacing w:after="57"/>
      <w:ind w:left="850"/>
    </w:pPr>
  </w:style>
  <w:style w:type="paragraph" w:styleId="25">
    <w:name w:val="Subtitle"/>
    <w:basedOn w:val="1"/>
    <w:next w:val="1"/>
    <w:link w:val="52"/>
    <w:qFormat/>
    <w:uiPriority w:val="11"/>
    <w:pPr>
      <w:spacing w:before="200" w:after="200"/>
    </w:pPr>
    <w:rPr>
      <w:sz w:val="24"/>
      <w:szCs w:val="24"/>
    </w:rPr>
  </w:style>
  <w:style w:type="paragraph" w:styleId="26">
    <w:name w:val="footnote text"/>
    <w:basedOn w:val="1"/>
    <w:link w:val="185"/>
    <w:semiHidden/>
    <w:unhideWhenUsed/>
    <w:qFormat/>
    <w:uiPriority w:val="99"/>
    <w:pPr>
      <w:spacing w:after="40"/>
    </w:pPr>
    <w:rPr>
      <w:sz w:val="18"/>
    </w:rPr>
  </w:style>
  <w:style w:type="paragraph" w:styleId="27">
    <w:name w:val="toc 6"/>
    <w:basedOn w:val="1"/>
    <w:next w:val="1"/>
    <w:unhideWhenUsed/>
    <w:qFormat/>
    <w:uiPriority w:val="39"/>
    <w:pPr>
      <w:spacing w:after="57"/>
      <w:ind w:left="1417"/>
    </w:pPr>
  </w:style>
  <w:style w:type="paragraph" w:styleId="28">
    <w:name w:val="table of figures"/>
    <w:basedOn w:val="1"/>
    <w:next w:val="1"/>
    <w:unhideWhenUsed/>
    <w:qFormat/>
    <w:uiPriority w:val="99"/>
  </w:style>
  <w:style w:type="paragraph" w:styleId="29">
    <w:name w:val="toc 2"/>
    <w:basedOn w:val="1"/>
    <w:next w:val="1"/>
    <w:unhideWhenUsed/>
    <w:qFormat/>
    <w:uiPriority w:val="39"/>
    <w:pPr>
      <w:spacing w:after="57"/>
      <w:ind w:left="283"/>
    </w:pPr>
  </w:style>
  <w:style w:type="paragraph" w:styleId="30">
    <w:name w:val="toc 9"/>
    <w:basedOn w:val="1"/>
    <w:next w:val="1"/>
    <w:unhideWhenUsed/>
    <w:qFormat/>
    <w:uiPriority w:val="39"/>
    <w:pPr>
      <w:spacing w:after="57"/>
      <w:ind w:left="2268"/>
    </w:pPr>
  </w:style>
  <w:style w:type="paragraph" w:styleId="31">
    <w:name w:val="Title"/>
    <w:basedOn w:val="1"/>
    <w:next w:val="1"/>
    <w:link w:val="51"/>
    <w:qFormat/>
    <w:uiPriority w:val="10"/>
    <w:pPr>
      <w:spacing w:before="300" w:after="200"/>
      <w:contextualSpacing/>
    </w:pPr>
    <w:rPr>
      <w:sz w:val="48"/>
      <w:szCs w:val="48"/>
    </w:rPr>
  </w:style>
  <w:style w:type="paragraph" w:styleId="32">
    <w:name w:val="annotation subject"/>
    <w:basedOn w:val="14"/>
    <w:next w:val="14"/>
    <w:link w:val="206"/>
    <w:semiHidden/>
    <w:unhideWhenUsed/>
    <w:qFormat/>
    <w:uiPriority w:val="99"/>
    <w:rPr>
      <w:b/>
      <w:bCs/>
    </w:rPr>
  </w:style>
  <w:style w:type="table" w:styleId="34">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6">
    <w:name w:val="endnote reference"/>
    <w:semiHidden/>
    <w:unhideWhenUsed/>
    <w:qFormat/>
    <w:uiPriority w:val="99"/>
    <w:rPr>
      <w:vertAlign w:val="superscript"/>
    </w:rPr>
  </w:style>
  <w:style w:type="character" w:styleId="37">
    <w:name w:val="Hyperlink"/>
    <w:unhideWhenUsed/>
    <w:qFormat/>
    <w:uiPriority w:val="99"/>
    <w:rPr>
      <w:color w:val="0000FF" w:themeColor="hyperlink"/>
      <w:u w:val="single"/>
      <w14:textFill>
        <w14:solidFill>
          <w14:schemeClr w14:val="hlink"/>
        </w14:solidFill>
      </w14:textFill>
    </w:rPr>
  </w:style>
  <w:style w:type="character" w:styleId="38">
    <w:name w:val="annotation reference"/>
    <w:basedOn w:val="35"/>
    <w:semiHidden/>
    <w:unhideWhenUsed/>
    <w:qFormat/>
    <w:uiPriority w:val="99"/>
    <w:rPr>
      <w:sz w:val="21"/>
      <w:szCs w:val="21"/>
    </w:rPr>
  </w:style>
  <w:style w:type="character" w:styleId="39">
    <w:name w:val="footnote reference"/>
    <w:unhideWhenUsed/>
    <w:qFormat/>
    <w:uiPriority w:val="99"/>
    <w:rPr>
      <w:vertAlign w:val="superscript"/>
    </w:rPr>
  </w:style>
  <w:style w:type="character" w:customStyle="1" w:styleId="40">
    <w:name w:val="标题 1 字符"/>
    <w:link w:val="3"/>
    <w:qFormat/>
    <w:uiPriority w:val="9"/>
    <w:rPr>
      <w:rFonts w:ascii="Arial" w:hAnsi="Arial" w:eastAsia="Arial" w:cs="Arial"/>
      <w:sz w:val="40"/>
      <w:szCs w:val="40"/>
    </w:rPr>
  </w:style>
  <w:style w:type="character" w:customStyle="1" w:styleId="41">
    <w:name w:val="标题 2 字符"/>
    <w:link w:val="4"/>
    <w:qFormat/>
    <w:uiPriority w:val="9"/>
    <w:rPr>
      <w:rFonts w:ascii="Arial" w:hAnsi="Arial" w:eastAsia="Arial" w:cs="Arial"/>
      <w:sz w:val="34"/>
    </w:rPr>
  </w:style>
  <w:style w:type="character" w:customStyle="1" w:styleId="42">
    <w:name w:val="标题 3 字符"/>
    <w:link w:val="5"/>
    <w:qFormat/>
    <w:uiPriority w:val="9"/>
    <w:rPr>
      <w:rFonts w:ascii="Arial" w:hAnsi="Arial" w:eastAsia="Arial" w:cs="Arial"/>
      <w:sz w:val="30"/>
      <w:szCs w:val="30"/>
    </w:rPr>
  </w:style>
  <w:style w:type="character" w:customStyle="1" w:styleId="43">
    <w:name w:val="标题 4 字符"/>
    <w:link w:val="6"/>
    <w:qFormat/>
    <w:uiPriority w:val="9"/>
    <w:rPr>
      <w:rFonts w:ascii="Arial" w:hAnsi="Arial" w:eastAsia="Arial" w:cs="Arial"/>
      <w:b/>
      <w:bCs/>
      <w:sz w:val="26"/>
      <w:szCs w:val="26"/>
    </w:rPr>
  </w:style>
  <w:style w:type="character" w:customStyle="1" w:styleId="44">
    <w:name w:val="标题 5 字符"/>
    <w:link w:val="7"/>
    <w:qFormat/>
    <w:uiPriority w:val="9"/>
    <w:rPr>
      <w:rFonts w:ascii="Arial" w:hAnsi="Arial" w:eastAsia="Arial" w:cs="Arial"/>
      <w:b/>
      <w:bCs/>
      <w:sz w:val="24"/>
      <w:szCs w:val="24"/>
    </w:rPr>
  </w:style>
  <w:style w:type="character" w:customStyle="1" w:styleId="45">
    <w:name w:val="标题 6 字符"/>
    <w:link w:val="8"/>
    <w:qFormat/>
    <w:uiPriority w:val="9"/>
    <w:rPr>
      <w:rFonts w:ascii="Arial" w:hAnsi="Arial" w:eastAsia="Arial" w:cs="Arial"/>
      <w:b/>
      <w:bCs/>
      <w:sz w:val="22"/>
      <w:szCs w:val="22"/>
    </w:rPr>
  </w:style>
  <w:style w:type="character" w:customStyle="1" w:styleId="46">
    <w:name w:val="标题 7 字符"/>
    <w:link w:val="9"/>
    <w:qFormat/>
    <w:uiPriority w:val="9"/>
    <w:rPr>
      <w:rFonts w:ascii="Arial" w:hAnsi="Arial" w:eastAsia="Arial" w:cs="Arial"/>
      <w:b/>
      <w:bCs/>
      <w:i/>
      <w:iCs/>
      <w:sz w:val="22"/>
      <w:szCs w:val="22"/>
    </w:rPr>
  </w:style>
  <w:style w:type="character" w:customStyle="1" w:styleId="47">
    <w:name w:val="标题 8 字符"/>
    <w:link w:val="10"/>
    <w:qFormat/>
    <w:uiPriority w:val="9"/>
    <w:rPr>
      <w:rFonts w:ascii="Arial" w:hAnsi="Arial" w:eastAsia="Arial" w:cs="Arial"/>
      <w:i/>
      <w:iCs/>
      <w:sz w:val="22"/>
      <w:szCs w:val="22"/>
    </w:rPr>
  </w:style>
  <w:style w:type="character" w:customStyle="1" w:styleId="48">
    <w:name w:val="标题 9 字符"/>
    <w:link w:val="11"/>
    <w:qFormat/>
    <w:uiPriority w:val="9"/>
    <w:rPr>
      <w:rFonts w:ascii="Arial" w:hAnsi="Arial" w:eastAsia="Arial" w:cs="Arial"/>
      <w:i/>
      <w:iCs/>
      <w:sz w:val="21"/>
      <w:szCs w:val="21"/>
    </w:rPr>
  </w:style>
  <w:style w:type="paragraph" w:styleId="49">
    <w:name w:val="List Paragraph"/>
    <w:basedOn w:val="1"/>
    <w:qFormat/>
    <w:uiPriority w:val="34"/>
    <w:pPr>
      <w:ind w:left="720"/>
      <w:contextualSpacing/>
    </w:pPr>
  </w:style>
  <w:style w:type="paragraph" w:styleId="50">
    <w:name w:val="No Spacing"/>
    <w:qFormat/>
    <w:uiPriority w:val="1"/>
    <w:rPr>
      <w:rFonts w:ascii="Times New Roman" w:hAnsi="Times New Roman" w:eastAsia="宋体" w:cs="Times New Roman"/>
      <w:lang w:val="en-US" w:eastAsia="zh-CN" w:bidi="ar-SA"/>
    </w:rPr>
  </w:style>
  <w:style w:type="character" w:customStyle="1" w:styleId="51">
    <w:name w:val="标题 字符"/>
    <w:link w:val="31"/>
    <w:qFormat/>
    <w:uiPriority w:val="10"/>
    <w:rPr>
      <w:sz w:val="48"/>
      <w:szCs w:val="48"/>
    </w:rPr>
  </w:style>
  <w:style w:type="character" w:customStyle="1" w:styleId="52">
    <w:name w:val="副标题 字符"/>
    <w:link w:val="25"/>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引用 字符"/>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6">
    <w:name w:val="明显引用 字符"/>
    <w:link w:val="55"/>
    <w:qFormat/>
    <w:uiPriority w:val="30"/>
    <w:rPr>
      <w:i/>
    </w:rPr>
  </w:style>
  <w:style w:type="character" w:customStyle="1" w:styleId="57">
    <w:name w:val="页眉 字符1"/>
    <w:link w:val="22"/>
    <w:qFormat/>
    <w:uiPriority w:val="99"/>
  </w:style>
  <w:style w:type="character" w:customStyle="1" w:styleId="58">
    <w:name w:val="Footer Char"/>
    <w:qFormat/>
    <w:uiPriority w:val="99"/>
  </w:style>
  <w:style w:type="character" w:customStyle="1" w:styleId="59">
    <w:name w:val="页脚 字符1"/>
    <w:link w:val="21"/>
    <w:qFormat/>
    <w:uiPriority w:val="99"/>
  </w:style>
  <w:style w:type="table" w:customStyle="1" w:styleId="60">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1">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8">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9">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0">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1">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2">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3">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4">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5">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6">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7">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8">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9">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0">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2">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3">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4">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5">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6">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7">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9">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0">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1">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2">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3">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4">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5">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6">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7">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8">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9">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0">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1">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5">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8">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9">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0">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1">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2">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3">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4">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5">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6">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7">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8">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9">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0">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1">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2">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3">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4">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5">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6">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7">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8">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9">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0">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1">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2">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3">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4">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5">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6">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7">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8">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9">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0">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1">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2">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3">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4">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5">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6">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7">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8">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9">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0">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1">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8">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9">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0">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1">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2">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3">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4">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5">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6">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7">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8">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9">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0">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1">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3">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4">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5">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6">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7">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8">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9">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0">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1">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2">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3">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4">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5">
    <w:name w:val="脚注文本 字符"/>
    <w:link w:val="26"/>
    <w:qFormat/>
    <w:uiPriority w:val="99"/>
    <w:rPr>
      <w:sz w:val="18"/>
    </w:rPr>
  </w:style>
  <w:style w:type="character" w:customStyle="1" w:styleId="186">
    <w:name w:val="尾注文本 字符"/>
    <w:link w:val="19"/>
    <w:qFormat/>
    <w:uiPriority w:val="99"/>
    <w:rPr>
      <w:sz w:val="20"/>
    </w:rPr>
  </w:style>
  <w:style w:type="paragraph" w:customStyle="1" w:styleId="187">
    <w:name w:val="TOC 标题1"/>
    <w:unhideWhenUsed/>
    <w:qFormat/>
    <w:uiPriority w:val="39"/>
    <w:rPr>
      <w:rFonts w:ascii="Times New Roman" w:hAnsi="Times New Roman" w:eastAsia="宋体" w:cs="Times New Roman"/>
      <w:lang w:val="en-US" w:eastAsia="zh-CN" w:bidi="ar-SA"/>
    </w:rPr>
  </w:style>
  <w:style w:type="character" w:customStyle="1" w:styleId="188">
    <w:name w:val="默认段落字体1"/>
    <w:unhideWhenUsed/>
    <w:qFormat/>
    <w:uiPriority w:val="1"/>
  </w:style>
  <w:style w:type="table" w:customStyle="1" w:styleId="189">
    <w:name w:val="普通表格1"/>
    <w:unhideWhenUsed/>
    <w:qFormat/>
    <w:uiPriority w:val="99"/>
    <w:tblPr>
      <w:tblCellMar>
        <w:top w:w="0" w:type="dxa"/>
        <w:left w:w="0" w:type="dxa"/>
        <w:bottom w:w="0" w:type="dxa"/>
        <w:right w:w="0" w:type="dxa"/>
      </w:tblCellMar>
    </w:tblPr>
  </w:style>
  <w:style w:type="paragraph" w:customStyle="1" w:styleId="190">
    <w:name w:val="批注文字1"/>
    <w:qFormat/>
    <w:uiPriority w:val="0"/>
    <w:pPr>
      <w:widowControl w:val="0"/>
      <w:snapToGrid w:val="0"/>
      <w:spacing w:line="336" w:lineRule="auto"/>
      <w:ind w:firstLine="632" w:firstLineChars="200"/>
    </w:pPr>
    <w:rPr>
      <w:rFonts w:hint="eastAsia" w:ascii="仿宋_GB2312" w:hAnsi="仿宋_GB2312" w:eastAsia="仿宋_GB2312" w:cs="仿宋_GB2312"/>
      <w:snapToGrid w:val="0"/>
      <w:sz w:val="32"/>
      <w:szCs w:val="24"/>
      <w:lang w:val="en-US" w:eastAsia="zh-CN" w:bidi="ar-SA"/>
    </w:rPr>
  </w:style>
  <w:style w:type="paragraph" w:customStyle="1" w:styleId="191">
    <w:name w:val="正文文本缩进1"/>
    <w:basedOn w:val="1"/>
    <w:qFormat/>
    <w:uiPriority w:val="99"/>
    <w:pPr>
      <w:spacing w:after="120"/>
      <w:ind w:left="420" w:leftChars="200"/>
    </w:pPr>
  </w:style>
  <w:style w:type="paragraph" w:customStyle="1" w:styleId="192">
    <w:name w:val="日期1"/>
    <w:basedOn w:val="1"/>
    <w:next w:val="1"/>
    <w:link w:val="193"/>
    <w:unhideWhenUsed/>
    <w:qFormat/>
    <w:uiPriority w:val="99"/>
    <w:pPr>
      <w:ind w:left="100" w:leftChars="2500"/>
    </w:pPr>
  </w:style>
  <w:style w:type="character" w:customStyle="1" w:styleId="193">
    <w:name w:val="日期 字符"/>
    <w:link w:val="192"/>
    <w:semiHidden/>
    <w:qFormat/>
    <w:uiPriority w:val="99"/>
    <w:rPr>
      <w:kern w:val="2"/>
      <w:sz w:val="32"/>
      <w:szCs w:val="22"/>
    </w:rPr>
  </w:style>
  <w:style w:type="paragraph" w:customStyle="1" w:styleId="194">
    <w:name w:val="页脚1"/>
    <w:basedOn w:val="1"/>
    <w:link w:val="195"/>
    <w:unhideWhenUsed/>
    <w:qFormat/>
    <w:uiPriority w:val="99"/>
    <w:pPr>
      <w:tabs>
        <w:tab w:val="center" w:pos="4153"/>
        <w:tab w:val="right" w:pos="8306"/>
      </w:tabs>
      <w:snapToGrid w:val="0"/>
      <w:jc w:val="left"/>
    </w:pPr>
    <w:rPr>
      <w:sz w:val="18"/>
      <w:szCs w:val="18"/>
    </w:rPr>
  </w:style>
  <w:style w:type="character" w:customStyle="1" w:styleId="195">
    <w:name w:val="页脚 字符"/>
    <w:link w:val="194"/>
    <w:qFormat/>
    <w:uiPriority w:val="99"/>
    <w:rPr>
      <w:kern w:val="2"/>
      <w:sz w:val="18"/>
      <w:szCs w:val="18"/>
    </w:rPr>
  </w:style>
  <w:style w:type="paragraph" w:customStyle="1" w:styleId="196">
    <w:name w:val="页眉1"/>
    <w:basedOn w:val="1"/>
    <w:link w:val="197"/>
    <w:unhideWhenUsed/>
    <w:qFormat/>
    <w:uiPriority w:val="99"/>
    <w:pPr>
      <w:pBdr>
        <w:bottom w:val="single" w:color="000000" w:sz="6" w:space="1"/>
      </w:pBdr>
      <w:tabs>
        <w:tab w:val="center" w:pos="4153"/>
        <w:tab w:val="right" w:pos="8306"/>
      </w:tabs>
      <w:snapToGrid w:val="0"/>
      <w:jc w:val="center"/>
    </w:pPr>
    <w:rPr>
      <w:sz w:val="18"/>
      <w:szCs w:val="18"/>
    </w:rPr>
  </w:style>
  <w:style w:type="character" w:customStyle="1" w:styleId="197">
    <w:name w:val="页眉 字符"/>
    <w:link w:val="196"/>
    <w:qFormat/>
    <w:uiPriority w:val="99"/>
    <w:rPr>
      <w:kern w:val="2"/>
      <w:sz w:val="18"/>
      <w:szCs w:val="18"/>
    </w:rPr>
  </w:style>
  <w:style w:type="paragraph" w:customStyle="1" w:styleId="198">
    <w:name w:val="正文首行缩进 21"/>
    <w:basedOn w:val="191"/>
    <w:next w:val="1"/>
    <w:qFormat/>
    <w:uiPriority w:val="0"/>
    <w:pPr>
      <w:ind w:left="200" w:firstLine="420" w:firstLineChars="200"/>
    </w:pPr>
    <w:rPr>
      <w:rFonts w:ascii="Calibri" w:hAnsi="Calibri"/>
      <w:sz w:val="21"/>
      <w:szCs w:val="24"/>
    </w:rPr>
  </w:style>
  <w:style w:type="table" w:customStyle="1" w:styleId="199">
    <w:name w:val="网格型1"/>
    <w:basedOn w:val="189"/>
    <w:qFormat/>
    <w:uiPriority w:val="59"/>
    <w:pPr>
      <w:widowControl w:val="0"/>
      <w:jc w:val="both"/>
    </w:pPr>
    <w:rPr>
      <w:rFonts w:ascii="Calibri" w:hAnsi="Calibri"/>
    </w:rPr>
  </w:style>
  <w:style w:type="character" w:customStyle="1" w:styleId="200">
    <w:name w:val="页码1"/>
    <w:unhideWhenUsed/>
    <w:qFormat/>
    <w:uiPriority w:val="99"/>
  </w:style>
  <w:style w:type="paragraph" w:customStyle="1" w:styleId="20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02">
    <w:name w:val="正文文本 字符"/>
    <w:basedOn w:val="35"/>
    <w:semiHidden/>
    <w:qFormat/>
    <w:uiPriority w:val="99"/>
    <w:rPr>
      <w:kern w:val="2"/>
      <w:sz w:val="32"/>
      <w:szCs w:val="32"/>
    </w:rPr>
  </w:style>
  <w:style w:type="character" w:customStyle="1" w:styleId="203">
    <w:name w:val="正文文本 字符1"/>
    <w:link w:val="15"/>
    <w:qFormat/>
    <w:uiPriority w:val="99"/>
    <w:rPr>
      <w:rFonts w:ascii="Calibri" w:hAnsi="Calibri" w:eastAsia="仿宋" w:cs="Calibri"/>
      <w:kern w:val="2"/>
      <w:sz w:val="21"/>
      <w:szCs w:val="32"/>
    </w:rPr>
  </w:style>
  <w:style w:type="character" w:customStyle="1" w:styleId="204">
    <w:name w:val="批注框文本 字符"/>
    <w:basedOn w:val="35"/>
    <w:link w:val="20"/>
    <w:semiHidden/>
    <w:qFormat/>
    <w:uiPriority w:val="99"/>
    <w:rPr>
      <w:kern w:val="2"/>
      <w:sz w:val="18"/>
      <w:szCs w:val="18"/>
    </w:rPr>
  </w:style>
  <w:style w:type="character" w:customStyle="1" w:styleId="205">
    <w:name w:val="批注文字 字符"/>
    <w:basedOn w:val="35"/>
    <w:link w:val="14"/>
    <w:semiHidden/>
    <w:qFormat/>
    <w:uiPriority w:val="99"/>
    <w:rPr>
      <w:kern w:val="2"/>
      <w:sz w:val="32"/>
      <w:szCs w:val="32"/>
    </w:rPr>
  </w:style>
  <w:style w:type="character" w:customStyle="1" w:styleId="206">
    <w:name w:val="批注主题 字符"/>
    <w:basedOn w:val="205"/>
    <w:link w:val="32"/>
    <w:semiHidden/>
    <w:qFormat/>
    <w:uiPriority w:val="9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4333</Words>
  <Characters>4369</Characters>
  <Lines>32</Lines>
  <Paragraphs>9</Paragraphs>
  <TotalTime>1</TotalTime>
  <ScaleCrop>false</ScaleCrop>
  <LinksUpToDate>false</LinksUpToDate>
  <CharactersWithSpaces>4447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2021-07-27T18:22:00Z</dcterms:created>
  <dc:creator>税伯</dc:creator>
  <cp:lastModifiedBy>兜兜</cp:lastModifiedBy>
  <dcterms:modified xsi:type="dcterms:W3CDTF">2026-09-24T07:33:59Z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44DEACF890EDE682076F966A75159929</vt:lpwstr>
  </property>
  <property fmtid="{D5CDD505-2E9C-101B-9397-08002B2CF9AE}" pid="4" name="KSOTemplateDocerSaveRecord">
    <vt:lpwstr>eyJoZGlkIjoiMWIyMmY4MjlmZDg3NzJjYjBmYmFkMGRhNDliMmFhOWEiLCJ1c2VySWQiOiI1NjI1NDI2MjAifQ==</vt:lpwstr>
  </property>
</Properties>
</file>