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26B21">
      <w:pPr>
        <w:spacing w:line="600" w:lineRule="exact"/>
        <w:ind w:firstLine="640" w:firstLineChars="200"/>
        <w:rPr>
          <w:rFonts w:ascii="Times New Roman" w:hAnsi="Times New Roman"/>
          <w:szCs w:val="32"/>
        </w:rPr>
      </w:pPr>
    </w:p>
    <w:p w14:paraId="4AB0E4C9">
      <w:pPr>
        <w:rPr>
          <w:rFonts w:ascii="黑体" w:hAnsi="黑体" w:eastAsia="黑体"/>
          <w:szCs w:val="32"/>
        </w:rPr>
      </w:pPr>
      <w:r>
        <w:rPr>
          <w:rFonts w:hint="eastAsia" w:ascii="黑体" w:hAnsi="黑体" w:eastAsia="黑体"/>
          <w:szCs w:val="32"/>
        </w:rPr>
        <w:t>附件1</w:t>
      </w:r>
    </w:p>
    <w:p w14:paraId="7F45C2BD">
      <w:pPr>
        <w:spacing w:line="560" w:lineRule="exact"/>
        <w:jc w:val="center"/>
        <w:rPr>
          <w:rFonts w:ascii="方正小标宋简体" w:hAnsi="Times New Roman" w:eastAsia="方正小标宋简体" w:cstheme="minorBidi"/>
          <w:sz w:val="44"/>
          <w:szCs w:val="44"/>
          <w:lang w:bidi="ar"/>
        </w:rPr>
      </w:pPr>
      <w:bookmarkStart w:id="0" w:name="_Toc30666984"/>
      <w:r>
        <w:rPr>
          <w:rFonts w:hint="eastAsia" w:ascii="方正小标宋简体" w:hAnsi="Times New Roman" w:eastAsia="方正小标宋简体" w:cstheme="minorBidi"/>
          <w:sz w:val="44"/>
          <w:szCs w:val="44"/>
          <w:lang w:bidi="ar"/>
        </w:rPr>
        <w:t>评审标准</w:t>
      </w:r>
      <w:bookmarkEnd w:id="0"/>
    </w:p>
    <w:p w14:paraId="324CD70E">
      <w:pPr>
        <w:ind w:firstLine="640" w:firstLineChars="200"/>
        <w:rPr>
          <w:rFonts w:ascii="Times New Roman" w:hAnsi="Times New Roman"/>
          <w:szCs w:val="44"/>
          <w:lang w:bidi="ar"/>
        </w:rPr>
      </w:pPr>
    </w:p>
    <w:tbl>
      <w:tblPr>
        <w:tblStyle w:val="9"/>
        <w:tblW w:w="53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09"/>
        <w:gridCol w:w="709"/>
        <w:gridCol w:w="9283"/>
        <w:gridCol w:w="3262"/>
      </w:tblGrid>
      <w:tr w14:paraId="3203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blHeader/>
          <w:jc w:val="center"/>
        </w:trPr>
        <w:tc>
          <w:tcPr>
            <w:tcW w:w="634" w:type="dxa"/>
            <w:tcBorders>
              <w:top w:val="single" w:color="auto" w:sz="4" w:space="0"/>
              <w:left w:val="single" w:color="auto" w:sz="4" w:space="0"/>
              <w:bottom w:val="single" w:color="auto" w:sz="4" w:space="0"/>
              <w:right w:val="single" w:color="auto" w:sz="4" w:space="0"/>
            </w:tcBorders>
            <w:vAlign w:val="center"/>
          </w:tcPr>
          <w:p w14:paraId="48E2FA72">
            <w:pPr>
              <w:ind w:right="-77" w:rightChars="-24"/>
              <w:jc w:val="center"/>
              <w:rPr>
                <w:rFonts w:ascii="黑体" w:hAnsi="黑体" w:eastAsia="黑体"/>
                <w:sz w:val="20"/>
                <w:szCs w:val="20"/>
              </w:rPr>
            </w:pPr>
            <w:bookmarkStart w:id="1" w:name="_Hlk148197411"/>
            <w:r>
              <w:rPr>
                <w:rFonts w:hint="eastAsia" w:ascii="黑体" w:hAnsi="黑体" w:eastAsia="黑体"/>
                <w:sz w:val="20"/>
                <w:szCs w:val="20"/>
              </w:rPr>
              <w:t>序号</w:t>
            </w:r>
          </w:p>
        </w:tc>
        <w:tc>
          <w:tcPr>
            <w:tcW w:w="1209" w:type="dxa"/>
            <w:tcBorders>
              <w:top w:val="single" w:color="auto" w:sz="4" w:space="0"/>
              <w:left w:val="single" w:color="auto" w:sz="4" w:space="0"/>
              <w:bottom w:val="single" w:color="auto" w:sz="4" w:space="0"/>
              <w:right w:val="single" w:color="auto" w:sz="4" w:space="0"/>
            </w:tcBorders>
            <w:vAlign w:val="center"/>
          </w:tcPr>
          <w:p w14:paraId="46AEB065">
            <w:pPr>
              <w:ind w:left="48" w:leftChars="15" w:right="-109" w:rightChars="-34"/>
              <w:jc w:val="center"/>
              <w:rPr>
                <w:rFonts w:ascii="黑体" w:hAnsi="黑体" w:eastAsia="黑体"/>
                <w:sz w:val="20"/>
                <w:szCs w:val="20"/>
              </w:rPr>
            </w:pPr>
            <w:r>
              <w:rPr>
                <w:rFonts w:hint="eastAsia" w:ascii="黑体" w:hAnsi="黑体" w:eastAsia="黑体"/>
                <w:sz w:val="20"/>
                <w:szCs w:val="20"/>
              </w:rPr>
              <w:t>因素</w:t>
            </w:r>
          </w:p>
        </w:tc>
        <w:tc>
          <w:tcPr>
            <w:tcW w:w="709" w:type="dxa"/>
            <w:tcBorders>
              <w:top w:val="single" w:color="auto" w:sz="4" w:space="0"/>
              <w:left w:val="single" w:color="auto" w:sz="4" w:space="0"/>
              <w:bottom w:val="single" w:color="auto" w:sz="4" w:space="0"/>
              <w:right w:val="single" w:color="auto" w:sz="4" w:space="0"/>
            </w:tcBorders>
            <w:vAlign w:val="center"/>
          </w:tcPr>
          <w:p w14:paraId="36B1E962">
            <w:pPr>
              <w:jc w:val="center"/>
              <w:rPr>
                <w:rFonts w:ascii="黑体" w:hAnsi="黑体" w:eastAsia="黑体"/>
                <w:sz w:val="20"/>
                <w:szCs w:val="20"/>
              </w:rPr>
            </w:pPr>
            <w:r>
              <w:rPr>
                <w:rFonts w:hint="eastAsia" w:ascii="黑体" w:hAnsi="黑体" w:eastAsia="黑体"/>
                <w:sz w:val="20"/>
                <w:szCs w:val="20"/>
              </w:rPr>
              <w:t>分值</w:t>
            </w:r>
          </w:p>
        </w:tc>
        <w:tc>
          <w:tcPr>
            <w:tcW w:w="9284" w:type="dxa"/>
            <w:tcBorders>
              <w:top w:val="single" w:color="auto" w:sz="4" w:space="0"/>
              <w:left w:val="single" w:color="auto" w:sz="4" w:space="0"/>
              <w:bottom w:val="single" w:color="auto" w:sz="4" w:space="0"/>
              <w:right w:val="single" w:color="auto" w:sz="4" w:space="0"/>
            </w:tcBorders>
            <w:vAlign w:val="center"/>
          </w:tcPr>
          <w:p w14:paraId="62533482">
            <w:pPr>
              <w:widowControl/>
              <w:jc w:val="center"/>
              <w:rPr>
                <w:rFonts w:ascii="黑体" w:hAnsi="黑体" w:eastAsia="黑体"/>
                <w:sz w:val="20"/>
                <w:szCs w:val="20"/>
              </w:rPr>
            </w:pPr>
            <w:r>
              <w:rPr>
                <w:rFonts w:hint="eastAsia" w:ascii="黑体" w:hAnsi="黑体" w:eastAsia="黑体"/>
                <w:sz w:val="20"/>
                <w:szCs w:val="20"/>
              </w:rPr>
              <w:t>评分标准</w:t>
            </w:r>
          </w:p>
        </w:tc>
        <w:tc>
          <w:tcPr>
            <w:tcW w:w="3262" w:type="dxa"/>
            <w:tcBorders>
              <w:top w:val="single" w:color="auto" w:sz="4" w:space="0"/>
              <w:left w:val="single" w:color="auto" w:sz="4" w:space="0"/>
              <w:bottom w:val="single" w:color="auto" w:sz="4" w:space="0"/>
              <w:right w:val="single" w:color="auto" w:sz="4" w:space="0"/>
            </w:tcBorders>
            <w:vAlign w:val="center"/>
          </w:tcPr>
          <w:p w14:paraId="2D124C40">
            <w:pPr>
              <w:jc w:val="center"/>
              <w:rPr>
                <w:rFonts w:ascii="黑体" w:hAnsi="黑体" w:eastAsia="黑体"/>
                <w:sz w:val="20"/>
                <w:szCs w:val="20"/>
              </w:rPr>
            </w:pPr>
            <w:r>
              <w:rPr>
                <w:rFonts w:hint="eastAsia" w:ascii="黑体" w:hAnsi="黑体" w:eastAsia="黑体"/>
                <w:sz w:val="20"/>
                <w:szCs w:val="20"/>
              </w:rPr>
              <w:t>备注</w:t>
            </w:r>
          </w:p>
        </w:tc>
      </w:tr>
      <w:tr w14:paraId="6978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14:paraId="5C5DCC3B">
            <w:pPr>
              <w:jc w:val="center"/>
              <w:rPr>
                <w:rFonts w:ascii="Times New Roman" w:hAnsi="Times New Roman"/>
                <w:sz w:val="20"/>
                <w:szCs w:val="20"/>
              </w:rPr>
            </w:pPr>
            <w:r>
              <w:rPr>
                <w:rFonts w:hint="eastAsia" w:ascii="Times New Roman" w:hAnsi="Times New Roman"/>
                <w:sz w:val="20"/>
                <w:szCs w:val="20"/>
              </w:rPr>
              <w:t>1</w:t>
            </w:r>
          </w:p>
        </w:tc>
        <w:tc>
          <w:tcPr>
            <w:tcW w:w="1209" w:type="dxa"/>
            <w:tcBorders>
              <w:top w:val="single" w:color="auto" w:sz="4" w:space="0"/>
              <w:left w:val="single" w:color="auto" w:sz="4" w:space="0"/>
              <w:bottom w:val="single" w:color="auto" w:sz="4" w:space="0"/>
              <w:right w:val="single" w:color="auto" w:sz="4" w:space="0"/>
            </w:tcBorders>
            <w:vAlign w:val="center"/>
          </w:tcPr>
          <w:p w14:paraId="1570D4D8">
            <w:pPr>
              <w:spacing w:line="220" w:lineRule="exact"/>
              <w:ind w:left="48" w:leftChars="15" w:right="-109" w:rightChars="-34"/>
              <w:jc w:val="center"/>
              <w:rPr>
                <w:rFonts w:ascii="Times New Roman" w:hAnsi="Times New Roman"/>
                <w:sz w:val="20"/>
                <w:szCs w:val="20"/>
              </w:rPr>
            </w:pPr>
            <w:r>
              <w:rPr>
                <w:rFonts w:hint="eastAsia" w:ascii="Times New Roman" w:hAnsi="Times New Roman"/>
                <w:sz w:val="20"/>
                <w:szCs w:val="20"/>
              </w:rPr>
              <w:t>代理服务费报价10%</w:t>
            </w:r>
          </w:p>
        </w:tc>
        <w:tc>
          <w:tcPr>
            <w:tcW w:w="709" w:type="dxa"/>
            <w:tcBorders>
              <w:top w:val="single" w:color="auto" w:sz="4" w:space="0"/>
              <w:left w:val="single" w:color="auto" w:sz="4" w:space="0"/>
              <w:bottom w:val="single" w:color="auto" w:sz="4" w:space="0"/>
              <w:right w:val="single" w:color="auto" w:sz="4" w:space="0"/>
            </w:tcBorders>
            <w:vAlign w:val="center"/>
          </w:tcPr>
          <w:p w14:paraId="24A21B0B">
            <w:pPr>
              <w:spacing w:line="220" w:lineRule="exact"/>
              <w:jc w:val="center"/>
              <w:rPr>
                <w:rFonts w:ascii="Times New Roman" w:hAnsi="Times New Roman"/>
                <w:sz w:val="20"/>
                <w:szCs w:val="20"/>
              </w:rPr>
            </w:pPr>
            <w:r>
              <w:rPr>
                <w:rFonts w:hint="eastAsia" w:ascii="Times New Roman" w:hAnsi="Times New Roman"/>
                <w:sz w:val="20"/>
                <w:szCs w:val="20"/>
              </w:rPr>
              <w:t>10</w:t>
            </w:r>
          </w:p>
        </w:tc>
        <w:tc>
          <w:tcPr>
            <w:tcW w:w="9284" w:type="dxa"/>
            <w:tcBorders>
              <w:top w:val="single" w:color="auto" w:sz="4" w:space="0"/>
              <w:left w:val="single" w:color="auto" w:sz="4" w:space="0"/>
              <w:bottom w:val="single" w:color="auto" w:sz="4" w:space="0"/>
              <w:right w:val="single" w:color="auto" w:sz="4" w:space="0"/>
            </w:tcBorders>
            <w:vAlign w:val="center"/>
          </w:tcPr>
          <w:p w14:paraId="79F42DCA">
            <w:pPr>
              <w:widowControl/>
              <w:spacing w:line="220" w:lineRule="exact"/>
              <w:rPr>
                <w:rFonts w:ascii="Times New Roman" w:hAnsi="Times New Roman"/>
                <w:sz w:val="20"/>
                <w:szCs w:val="20"/>
              </w:rPr>
            </w:pPr>
            <w:r>
              <w:rPr>
                <w:rFonts w:hint="eastAsia" w:ascii="Times New Roman" w:hAnsi="Times New Roman"/>
                <w:sz w:val="20"/>
                <w:szCs w:val="20"/>
              </w:rPr>
              <w:t>参照原《招标代理服务收费管理暂行办法》（计价格〔2002〕1980号）附件《招标代理服务收费标准》有关规定标准收费，每下浮1%得0.5分，本子项最高得10分。</w:t>
            </w:r>
          </w:p>
        </w:tc>
        <w:tc>
          <w:tcPr>
            <w:tcW w:w="3262" w:type="dxa"/>
            <w:tcBorders>
              <w:top w:val="single" w:color="auto" w:sz="4" w:space="0"/>
              <w:left w:val="single" w:color="auto" w:sz="4" w:space="0"/>
              <w:bottom w:val="single" w:color="auto" w:sz="4" w:space="0"/>
              <w:right w:val="single" w:color="auto" w:sz="4" w:space="0"/>
            </w:tcBorders>
            <w:vAlign w:val="center"/>
          </w:tcPr>
          <w:p w14:paraId="278D9273">
            <w:pPr>
              <w:spacing w:line="220" w:lineRule="exact"/>
              <w:rPr>
                <w:rFonts w:ascii="Times New Roman" w:hAnsi="Times New Roman"/>
                <w:sz w:val="20"/>
                <w:szCs w:val="20"/>
              </w:rPr>
            </w:pPr>
            <w:r>
              <w:rPr>
                <w:rFonts w:hint="eastAsia" w:ascii="Times New Roman" w:hAnsi="Times New Roman"/>
                <w:sz w:val="20"/>
                <w:szCs w:val="20"/>
              </w:rPr>
              <w:t>1.中选人不得以后期提高采购文件售价等方式作为补偿。</w:t>
            </w:r>
          </w:p>
          <w:p w14:paraId="7D380730">
            <w:pPr>
              <w:spacing w:line="220" w:lineRule="exact"/>
              <w:rPr>
                <w:rFonts w:ascii="Times New Roman" w:hAnsi="Times New Roman"/>
                <w:sz w:val="20"/>
                <w:szCs w:val="20"/>
              </w:rPr>
            </w:pPr>
            <w:r>
              <w:rPr>
                <w:rFonts w:hint="eastAsia" w:ascii="Times New Roman" w:hAnsi="Times New Roman"/>
                <w:sz w:val="20"/>
                <w:szCs w:val="20"/>
              </w:rPr>
              <w:t>2.附件4报价表中单笔项目最低收费4000元，为固定约束，参选人不得更改，也不纳入本次评审计分。</w:t>
            </w:r>
          </w:p>
        </w:tc>
      </w:tr>
      <w:tr w14:paraId="5E1B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2"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14:paraId="55742D92">
            <w:pPr>
              <w:jc w:val="center"/>
              <w:rPr>
                <w:rFonts w:ascii="Times New Roman" w:hAnsi="Times New Roman"/>
                <w:sz w:val="20"/>
                <w:szCs w:val="20"/>
              </w:rPr>
            </w:pPr>
            <w:r>
              <w:rPr>
                <w:rFonts w:hint="eastAsia" w:ascii="Times New Roman" w:hAnsi="Times New Roman"/>
                <w:sz w:val="20"/>
                <w:szCs w:val="20"/>
              </w:rPr>
              <w:t>2</w:t>
            </w:r>
          </w:p>
        </w:tc>
        <w:tc>
          <w:tcPr>
            <w:tcW w:w="1209" w:type="dxa"/>
            <w:tcBorders>
              <w:top w:val="single" w:color="auto" w:sz="4" w:space="0"/>
              <w:left w:val="single" w:color="auto" w:sz="4" w:space="0"/>
              <w:bottom w:val="single" w:color="auto" w:sz="4" w:space="0"/>
              <w:right w:val="single" w:color="auto" w:sz="4" w:space="0"/>
            </w:tcBorders>
            <w:vAlign w:val="center"/>
          </w:tcPr>
          <w:p w14:paraId="65052795">
            <w:pPr>
              <w:spacing w:line="220" w:lineRule="exact"/>
              <w:ind w:left="48" w:leftChars="15" w:right="-109" w:rightChars="-34"/>
              <w:jc w:val="center"/>
              <w:rPr>
                <w:rFonts w:ascii="Times New Roman" w:hAnsi="Times New Roman"/>
                <w:sz w:val="20"/>
                <w:szCs w:val="20"/>
              </w:rPr>
            </w:pPr>
            <w:r>
              <w:rPr>
                <w:rFonts w:hint="eastAsia" w:ascii="Times New Roman" w:hAnsi="Times New Roman"/>
                <w:sz w:val="20"/>
                <w:szCs w:val="20"/>
              </w:rPr>
              <w:t>人员配置20%</w:t>
            </w:r>
          </w:p>
        </w:tc>
        <w:tc>
          <w:tcPr>
            <w:tcW w:w="709" w:type="dxa"/>
            <w:tcBorders>
              <w:top w:val="single" w:color="auto" w:sz="4" w:space="0"/>
              <w:left w:val="single" w:color="auto" w:sz="4" w:space="0"/>
              <w:bottom w:val="single" w:color="auto" w:sz="4" w:space="0"/>
              <w:right w:val="single" w:color="auto" w:sz="4" w:space="0"/>
            </w:tcBorders>
            <w:vAlign w:val="center"/>
          </w:tcPr>
          <w:p w14:paraId="11CC6E67">
            <w:pPr>
              <w:spacing w:line="220" w:lineRule="exact"/>
              <w:jc w:val="center"/>
              <w:rPr>
                <w:rFonts w:ascii="Times New Roman" w:hAnsi="Times New Roman"/>
                <w:sz w:val="20"/>
                <w:szCs w:val="20"/>
              </w:rPr>
            </w:pPr>
            <w:r>
              <w:rPr>
                <w:rFonts w:hint="eastAsia" w:ascii="Times New Roman" w:hAnsi="Times New Roman"/>
                <w:sz w:val="20"/>
                <w:szCs w:val="20"/>
              </w:rPr>
              <w:t>20</w:t>
            </w:r>
          </w:p>
        </w:tc>
        <w:tc>
          <w:tcPr>
            <w:tcW w:w="9284" w:type="dxa"/>
            <w:tcBorders>
              <w:top w:val="single" w:color="auto" w:sz="4" w:space="0"/>
              <w:left w:val="single" w:color="auto" w:sz="4" w:space="0"/>
              <w:bottom w:val="single" w:color="auto" w:sz="4" w:space="0"/>
              <w:right w:val="single" w:color="auto" w:sz="4" w:space="0"/>
            </w:tcBorders>
            <w:vAlign w:val="center"/>
          </w:tcPr>
          <w:p w14:paraId="6AB40EC7">
            <w:pPr>
              <w:widowControl/>
              <w:shd w:val="clear" w:color="auto" w:fill="FFFFFF"/>
              <w:spacing w:line="220" w:lineRule="exact"/>
              <w:rPr>
                <w:rFonts w:ascii="Times New Roman" w:hAnsi="Times New Roman"/>
                <w:b/>
                <w:bCs/>
                <w:sz w:val="20"/>
                <w:szCs w:val="20"/>
              </w:rPr>
            </w:pPr>
            <w:r>
              <w:rPr>
                <w:rFonts w:hint="eastAsia" w:ascii="Times New Roman" w:hAnsi="Times New Roman"/>
                <w:b/>
                <w:bCs/>
                <w:sz w:val="20"/>
                <w:szCs w:val="20"/>
              </w:rPr>
              <w:t>1.项目负责人（仅能为1名）</w:t>
            </w:r>
          </w:p>
          <w:p w14:paraId="18A7CC53">
            <w:pPr>
              <w:widowControl/>
              <w:shd w:val="clear" w:color="auto" w:fill="FFFFFF"/>
              <w:spacing w:line="220" w:lineRule="exact"/>
              <w:rPr>
                <w:rFonts w:ascii="Times New Roman" w:hAnsi="Times New Roman"/>
                <w:sz w:val="20"/>
                <w:szCs w:val="20"/>
              </w:rPr>
            </w:pPr>
            <w:r>
              <w:rPr>
                <w:rFonts w:hint="eastAsia" w:ascii="Times New Roman" w:hAnsi="Times New Roman"/>
                <w:sz w:val="20"/>
                <w:szCs w:val="20"/>
              </w:rPr>
              <w:t>（1）具有经济系列或会计、统计、审计系列职称中级以上的得2分；还具有四川省财政厅颁发的四川省政府采购评审专家证书得2分；本子项最高得4分。（注：提供职称证书复印件、评审专家证书复印件或政府采购评审专家系统截图）</w:t>
            </w:r>
          </w:p>
          <w:p w14:paraId="7856526F">
            <w:pPr>
              <w:widowControl/>
              <w:shd w:val="clear" w:color="auto" w:fill="FFFFFF"/>
              <w:spacing w:line="220" w:lineRule="exact"/>
              <w:rPr>
                <w:rFonts w:ascii="Times New Roman" w:hAnsi="Times New Roman"/>
                <w:sz w:val="20"/>
                <w:szCs w:val="20"/>
              </w:rPr>
            </w:pPr>
            <w:r>
              <w:rPr>
                <w:rFonts w:hint="eastAsia" w:ascii="Times New Roman" w:hAnsi="Times New Roman"/>
                <w:sz w:val="20"/>
                <w:szCs w:val="20"/>
              </w:rPr>
              <w:t>（2）具有招标师资格或中国招标投标协会颁发的招标采购从业人员专业技术能力评价证书（中级）的得2分。本子项最高得2分。（注：提供招标师证书复印件或招标师电子登记页面截图/能力评价证书复印件及证书人员所属机构为本公司的截图）</w:t>
            </w:r>
          </w:p>
          <w:p w14:paraId="22A554B4">
            <w:pPr>
              <w:widowControl/>
              <w:shd w:val="clear" w:color="auto" w:fill="FFFFFF"/>
              <w:spacing w:line="220" w:lineRule="exact"/>
              <w:rPr>
                <w:rFonts w:ascii="Times New Roman" w:hAnsi="Times New Roman"/>
                <w:sz w:val="20"/>
                <w:szCs w:val="20"/>
              </w:rPr>
            </w:pPr>
            <w:r>
              <w:rPr>
                <w:rFonts w:hint="eastAsia" w:ascii="Times New Roman" w:hAnsi="Times New Roman"/>
                <w:sz w:val="20"/>
                <w:szCs w:val="20"/>
              </w:rPr>
              <w:t>（3）具有招标采购行业经验10年以上的得4分；6年以上不足10年的得3分；3年以上不足6年的得1分；不足3年的不得分。本子项最高得4分（注：</w:t>
            </w:r>
            <w:r>
              <w:rPr>
                <w:rFonts w:hint="eastAsia" w:ascii="Times New Roman" w:hAnsi="Times New Roman" w:cstheme="minorBidi"/>
                <w:sz w:val="20"/>
                <w:szCs w:val="20"/>
              </w:rPr>
              <w:t>①</w:t>
            </w:r>
            <w:r>
              <w:rPr>
                <w:rFonts w:hint="eastAsia" w:ascii="Times New Roman" w:hAnsi="Times New Roman"/>
                <w:sz w:val="20"/>
                <w:szCs w:val="20"/>
              </w:rPr>
              <w:t>年限统计截至2026年7月30日；</w:t>
            </w:r>
            <w:r>
              <w:rPr>
                <w:rFonts w:hint="eastAsia" w:ascii="Times New Roman" w:hAnsi="Times New Roman" w:cstheme="minorBidi"/>
                <w:sz w:val="20"/>
                <w:szCs w:val="20"/>
              </w:rPr>
              <w:t>②</w:t>
            </w:r>
            <w:r>
              <w:rPr>
                <w:rFonts w:hint="eastAsia" w:ascii="Times New Roman" w:hAnsi="Times New Roman"/>
                <w:sz w:val="20"/>
                <w:szCs w:val="20"/>
              </w:rPr>
              <w:t>提供个人具有招标采购行业经验所在年度的社保证明材料，社保证明所在公司名称不能直接体现的是招标代理机构的则还须提供该公司招标代理相关资质或资格证明材料）。</w:t>
            </w:r>
          </w:p>
          <w:p w14:paraId="3BAF31EA">
            <w:pPr>
              <w:widowControl/>
              <w:shd w:val="clear" w:color="auto" w:fill="FFFFFF"/>
              <w:spacing w:line="220" w:lineRule="exact"/>
              <w:rPr>
                <w:rFonts w:ascii="Times New Roman" w:hAnsi="Times New Roman"/>
                <w:b/>
                <w:bCs/>
                <w:sz w:val="20"/>
                <w:szCs w:val="20"/>
                <w:u w:val="single"/>
              </w:rPr>
            </w:pPr>
            <w:r>
              <w:rPr>
                <w:rFonts w:hint="eastAsia" w:ascii="Times New Roman" w:hAnsi="Times New Roman"/>
                <w:b/>
                <w:bCs/>
                <w:sz w:val="20"/>
                <w:szCs w:val="20"/>
              </w:rPr>
              <w:t>2.拟投入本项目团队成员</w:t>
            </w:r>
            <w:r>
              <w:rPr>
                <w:rFonts w:hint="eastAsia" w:ascii="Times New Roman" w:hAnsi="Times New Roman"/>
                <w:b/>
                <w:bCs/>
                <w:sz w:val="20"/>
                <w:szCs w:val="20"/>
                <w:u w:val="single"/>
              </w:rPr>
              <w:t>（不含项目负责人）</w:t>
            </w:r>
          </w:p>
          <w:p w14:paraId="4B1AC482">
            <w:pPr>
              <w:widowControl/>
              <w:shd w:val="clear" w:color="auto" w:fill="FFFFFF"/>
              <w:spacing w:line="220" w:lineRule="exact"/>
              <w:rPr>
                <w:rFonts w:ascii="Times New Roman" w:hAnsi="Times New Roman"/>
                <w:sz w:val="20"/>
                <w:szCs w:val="20"/>
              </w:rPr>
            </w:pPr>
            <w:r>
              <w:rPr>
                <w:rFonts w:hint="eastAsia" w:ascii="Times New Roman" w:hAnsi="Times New Roman"/>
                <w:b/>
                <w:bCs/>
                <w:sz w:val="20"/>
                <w:szCs w:val="20"/>
                <w:u w:val="single"/>
              </w:rPr>
              <w:t>（1）</w:t>
            </w:r>
            <w:r>
              <w:rPr>
                <w:rFonts w:hint="eastAsia" w:ascii="Times New Roman" w:hAnsi="Times New Roman"/>
                <w:sz w:val="20"/>
                <w:szCs w:val="20"/>
              </w:rPr>
              <w:t>每具有1个招标师资格或中国招标投标协会颁发的招标采购从业人员专业技术能力评价证书（中级）的得1分，本子项最高得4分。（注：</w:t>
            </w:r>
            <w:r>
              <w:rPr>
                <w:rFonts w:hint="eastAsia" w:ascii="Times New Roman" w:hAnsi="Times New Roman" w:cstheme="minorBidi"/>
                <w:sz w:val="20"/>
                <w:szCs w:val="20"/>
              </w:rPr>
              <w:t>①</w:t>
            </w:r>
            <w:r>
              <w:rPr>
                <w:rFonts w:hint="eastAsia" w:ascii="Times New Roman" w:hAnsi="Times New Roman"/>
                <w:sz w:val="20"/>
                <w:szCs w:val="20"/>
              </w:rPr>
              <w:t>提供招标师证书复印件或招标师电子登记页面截图/能力评价证书复印件；</w:t>
            </w:r>
            <w:r>
              <w:rPr>
                <w:rFonts w:hint="eastAsia" w:ascii="Times New Roman" w:hAnsi="Times New Roman" w:cstheme="minorBidi"/>
                <w:sz w:val="20"/>
                <w:szCs w:val="20"/>
              </w:rPr>
              <w:t>②</w:t>
            </w:r>
            <w:r>
              <w:rPr>
                <w:rFonts w:hint="eastAsia" w:ascii="Times New Roman" w:hAnsi="Times New Roman"/>
                <w:sz w:val="20"/>
                <w:szCs w:val="20"/>
              </w:rPr>
              <w:t>中国招标投标协会颁发的招标采购从业人员专业技术能力评价证书需同时提供证书人员所属机构为本公司的截图，否则不予认定）</w:t>
            </w:r>
          </w:p>
          <w:p w14:paraId="5CF19BA5">
            <w:pPr>
              <w:widowControl/>
              <w:shd w:val="clear" w:color="auto" w:fill="FFFFFF"/>
              <w:spacing w:line="220" w:lineRule="exact"/>
              <w:rPr>
                <w:rFonts w:ascii="Times New Roman" w:hAnsi="Times New Roman"/>
                <w:sz w:val="20"/>
                <w:szCs w:val="20"/>
              </w:rPr>
            </w:pPr>
            <w:r>
              <w:rPr>
                <w:rFonts w:hint="eastAsia" w:ascii="Times New Roman" w:hAnsi="Times New Roman"/>
                <w:sz w:val="20"/>
                <w:szCs w:val="20"/>
              </w:rPr>
              <w:t>（2）每具有1个四川省政府采购评审专家证书的，得1分，本子项最高得4分。（注：</w:t>
            </w:r>
            <w:r>
              <w:rPr>
                <w:rFonts w:hint="eastAsia" w:ascii="Times New Roman" w:hAnsi="Times New Roman" w:cstheme="minorBidi"/>
                <w:sz w:val="20"/>
                <w:szCs w:val="20"/>
              </w:rPr>
              <w:t>①</w:t>
            </w:r>
            <w:r>
              <w:rPr>
                <w:rFonts w:hint="eastAsia" w:ascii="Times New Roman" w:hAnsi="Times New Roman"/>
                <w:sz w:val="20"/>
                <w:szCs w:val="20"/>
              </w:rPr>
              <w:t>提供评审专家证书复印件或政府采购评审专家系统截图）</w:t>
            </w:r>
          </w:p>
          <w:p w14:paraId="3BED02C6">
            <w:pPr>
              <w:widowControl/>
              <w:shd w:val="clear" w:color="auto" w:fill="FFFFFF"/>
              <w:spacing w:line="220" w:lineRule="exact"/>
              <w:rPr>
                <w:rFonts w:ascii="Times New Roman" w:hAnsi="Times New Roman"/>
                <w:sz w:val="20"/>
                <w:szCs w:val="20"/>
              </w:rPr>
            </w:pPr>
            <w:r>
              <w:rPr>
                <w:rFonts w:hint="eastAsia" w:ascii="Times New Roman" w:hAnsi="Times New Roman"/>
                <w:sz w:val="20"/>
                <w:szCs w:val="20"/>
              </w:rPr>
              <w:t>3</w:t>
            </w:r>
            <w:r>
              <w:rPr>
                <w:rFonts w:hint="eastAsia" w:ascii="Times New Roman" w:hAnsi="Times New Roman"/>
                <w:b/>
                <w:bCs/>
                <w:sz w:val="20"/>
                <w:szCs w:val="20"/>
              </w:rPr>
              <w:t>.</w:t>
            </w:r>
            <w:r>
              <w:rPr>
                <w:rFonts w:hint="eastAsia" w:ascii="Times New Roman" w:hAnsi="Times New Roman"/>
                <w:sz w:val="20"/>
                <w:szCs w:val="20"/>
              </w:rPr>
              <w:t>比选申请人具有自有法务人员或具有外聘法律顾问的得2分，本子项最高得2分。</w:t>
            </w:r>
            <w:r>
              <w:rPr>
                <w:rFonts w:hint="eastAsia" w:ascii="Times New Roman" w:hAnsi="Times New Roman"/>
                <w:b/>
                <w:bCs/>
                <w:sz w:val="20"/>
                <w:szCs w:val="20"/>
                <w:u w:val="single"/>
              </w:rPr>
              <w:t>（注：</w:t>
            </w:r>
            <w:r>
              <w:rPr>
                <w:rFonts w:hint="eastAsia" w:ascii="Times New Roman" w:hAnsi="Times New Roman" w:cstheme="minorBidi"/>
                <w:sz w:val="20"/>
                <w:szCs w:val="20"/>
              </w:rPr>
              <w:t>①自有法务人员的提供</w:t>
            </w:r>
            <w:r>
              <w:rPr>
                <w:rFonts w:hint="eastAsia" w:ascii="Times New Roman" w:hAnsi="Times New Roman"/>
                <w:b/>
                <w:bCs/>
                <w:sz w:val="20"/>
                <w:szCs w:val="20"/>
                <w:u w:val="single"/>
              </w:rPr>
              <w:t>法律职业资格证书复印件</w:t>
            </w:r>
            <w:r>
              <w:rPr>
                <w:rFonts w:hint="eastAsia" w:ascii="Times New Roman" w:hAnsi="Times New Roman"/>
                <w:sz w:val="20"/>
                <w:szCs w:val="20"/>
              </w:rPr>
              <w:t>；</w:t>
            </w:r>
            <w:r>
              <w:rPr>
                <w:rFonts w:hint="eastAsia" w:ascii="Times New Roman" w:hAnsi="Times New Roman" w:cstheme="minorBidi"/>
                <w:sz w:val="20"/>
                <w:szCs w:val="20"/>
              </w:rPr>
              <w:t>②</w:t>
            </w:r>
            <w:r>
              <w:rPr>
                <w:rFonts w:hint="eastAsia" w:ascii="Times New Roman" w:hAnsi="Times New Roman"/>
                <w:b/>
                <w:bCs/>
                <w:sz w:val="20"/>
                <w:szCs w:val="20"/>
                <w:u w:val="single"/>
              </w:rPr>
              <w:t>外聘法律顾问的提供法律顾问单位委托协议书复印件及对应法律顾问人员的律师执业资格证书复印件）</w:t>
            </w:r>
            <w:r>
              <w:rPr>
                <w:rFonts w:hint="eastAsia" w:ascii="Times New Roman" w:hAnsi="Times New Roman"/>
                <w:sz w:val="20"/>
                <w:szCs w:val="20"/>
              </w:rPr>
              <w:t xml:space="preserve"> </w:t>
            </w:r>
          </w:p>
          <w:p w14:paraId="0E904D1C">
            <w:pPr>
              <w:widowControl/>
              <w:shd w:val="clear" w:color="auto" w:fill="FFFFFF"/>
              <w:spacing w:line="220" w:lineRule="exact"/>
              <w:rPr>
                <w:rFonts w:ascii="Times New Roman" w:hAnsi="Times New Roman"/>
                <w:sz w:val="20"/>
                <w:szCs w:val="20"/>
              </w:rPr>
            </w:pPr>
            <w:r>
              <w:rPr>
                <w:rFonts w:hint="eastAsia" w:ascii="Times New Roman" w:hAnsi="Times New Roman"/>
                <w:sz w:val="20"/>
                <w:szCs w:val="20"/>
              </w:rPr>
              <w:t>总体说明：①项目团队成员同一人员具有多个证书可累计计分；</w:t>
            </w:r>
            <w:r>
              <w:rPr>
                <w:rFonts w:hint="eastAsia" w:ascii="Times New Roman" w:hAnsi="Times New Roman" w:cstheme="minorBidi"/>
                <w:sz w:val="20"/>
                <w:szCs w:val="20"/>
              </w:rPr>
              <w:t>②</w:t>
            </w:r>
            <w:r>
              <w:rPr>
                <w:rFonts w:hint="eastAsia" w:ascii="Times New Roman" w:hAnsi="Times New Roman"/>
                <w:sz w:val="20"/>
                <w:szCs w:val="20"/>
              </w:rPr>
              <w:t>上述所有人员名单（法律顾问除外）需与中国政府采购网登记名单一致，并提供中国政府采购网政府采购代理机构人员信息页面截图，否则不予认定。③上述所有人员（法律顾问除外）需同时提供比选申请人为成员购买近3个月社保或劳动合同协议证明材料（退休返聘人员不得分），否则不予认定。</w:t>
            </w:r>
          </w:p>
        </w:tc>
        <w:tc>
          <w:tcPr>
            <w:tcW w:w="3262" w:type="dxa"/>
            <w:tcBorders>
              <w:top w:val="single" w:color="auto" w:sz="4" w:space="0"/>
              <w:left w:val="single" w:color="auto" w:sz="4" w:space="0"/>
              <w:bottom w:val="single" w:color="auto" w:sz="4" w:space="0"/>
              <w:right w:val="single" w:color="auto" w:sz="4" w:space="0"/>
            </w:tcBorders>
            <w:vAlign w:val="center"/>
          </w:tcPr>
          <w:p w14:paraId="50EAE338">
            <w:pPr>
              <w:spacing w:line="220" w:lineRule="exact"/>
              <w:rPr>
                <w:rFonts w:ascii="Times New Roman" w:hAnsi="Times New Roman"/>
                <w:sz w:val="20"/>
                <w:szCs w:val="20"/>
              </w:rPr>
            </w:pPr>
            <w:r>
              <w:rPr>
                <w:rFonts w:hint="eastAsia" w:ascii="Times New Roman" w:hAnsi="Times New Roman"/>
                <w:sz w:val="20"/>
                <w:szCs w:val="20"/>
              </w:rPr>
              <w:t>按要求附人员相应证明材料。</w:t>
            </w:r>
          </w:p>
        </w:tc>
      </w:tr>
      <w:tr w14:paraId="39E9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0"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14:paraId="673F268A">
            <w:pPr>
              <w:jc w:val="center"/>
              <w:rPr>
                <w:rFonts w:ascii="Times New Roman" w:hAnsi="Times New Roman"/>
                <w:sz w:val="20"/>
                <w:szCs w:val="20"/>
              </w:rPr>
            </w:pPr>
            <w:r>
              <w:rPr>
                <w:rFonts w:hint="eastAsia" w:ascii="Times New Roman" w:hAnsi="Times New Roman"/>
                <w:sz w:val="20"/>
                <w:szCs w:val="20"/>
              </w:rPr>
              <w:t>3</w:t>
            </w:r>
          </w:p>
        </w:tc>
        <w:tc>
          <w:tcPr>
            <w:tcW w:w="1209" w:type="dxa"/>
            <w:tcBorders>
              <w:top w:val="single" w:color="auto" w:sz="4" w:space="0"/>
              <w:left w:val="single" w:color="auto" w:sz="4" w:space="0"/>
              <w:bottom w:val="single" w:color="auto" w:sz="4" w:space="0"/>
              <w:right w:val="single" w:color="auto" w:sz="4" w:space="0"/>
            </w:tcBorders>
            <w:vAlign w:val="center"/>
          </w:tcPr>
          <w:p w14:paraId="7CB66135">
            <w:pPr>
              <w:ind w:left="48" w:leftChars="15" w:right="-109" w:rightChars="-34"/>
              <w:jc w:val="center"/>
              <w:rPr>
                <w:rFonts w:ascii="Times New Roman" w:hAnsi="Times New Roman"/>
                <w:sz w:val="20"/>
                <w:szCs w:val="20"/>
              </w:rPr>
            </w:pPr>
            <w:r>
              <w:rPr>
                <w:rFonts w:hint="eastAsia" w:ascii="Times New Roman" w:hAnsi="Times New Roman"/>
                <w:sz w:val="20"/>
                <w:szCs w:val="20"/>
              </w:rPr>
              <w:t>代理业绩20%</w:t>
            </w:r>
          </w:p>
        </w:tc>
        <w:tc>
          <w:tcPr>
            <w:tcW w:w="709" w:type="dxa"/>
            <w:tcBorders>
              <w:top w:val="single" w:color="auto" w:sz="4" w:space="0"/>
              <w:left w:val="single" w:color="auto" w:sz="4" w:space="0"/>
              <w:bottom w:val="single" w:color="auto" w:sz="4" w:space="0"/>
              <w:right w:val="single" w:color="auto" w:sz="4" w:space="0"/>
            </w:tcBorders>
            <w:vAlign w:val="center"/>
          </w:tcPr>
          <w:p w14:paraId="7BBC2FBA">
            <w:pPr>
              <w:jc w:val="center"/>
              <w:rPr>
                <w:rFonts w:ascii="Times New Roman" w:hAnsi="Times New Roman"/>
                <w:sz w:val="20"/>
                <w:szCs w:val="20"/>
              </w:rPr>
            </w:pPr>
            <w:r>
              <w:rPr>
                <w:rFonts w:hint="eastAsia" w:ascii="Times New Roman" w:hAnsi="Times New Roman"/>
                <w:sz w:val="20"/>
                <w:szCs w:val="20"/>
              </w:rPr>
              <w:t>20</w:t>
            </w:r>
          </w:p>
        </w:tc>
        <w:tc>
          <w:tcPr>
            <w:tcW w:w="9284" w:type="dxa"/>
            <w:tcBorders>
              <w:top w:val="single" w:color="auto" w:sz="4" w:space="0"/>
              <w:left w:val="single" w:color="auto" w:sz="4" w:space="0"/>
              <w:bottom w:val="single" w:color="auto" w:sz="4" w:space="0"/>
              <w:right w:val="single" w:color="auto" w:sz="4" w:space="0"/>
            </w:tcBorders>
            <w:vAlign w:val="center"/>
          </w:tcPr>
          <w:p w14:paraId="7D7FEDF9">
            <w:pPr>
              <w:widowControl/>
              <w:shd w:val="clear" w:color="auto" w:fill="FFFFFF"/>
              <w:rPr>
                <w:rFonts w:ascii="Times New Roman" w:hAnsi="Times New Roman"/>
                <w:sz w:val="20"/>
                <w:szCs w:val="20"/>
              </w:rPr>
            </w:pPr>
            <w:r>
              <w:rPr>
                <w:rFonts w:hint="eastAsia" w:ascii="Times New Roman" w:hAnsi="Times New Roman"/>
                <w:sz w:val="20"/>
                <w:szCs w:val="20"/>
              </w:rPr>
              <w:t>根据2023年7月1日至递交响应文件截止日，从事政府采购代理业绩：</w:t>
            </w:r>
          </w:p>
          <w:p w14:paraId="2FD96FF4">
            <w:pPr>
              <w:widowControl/>
              <w:shd w:val="clear" w:color="auto" w:fill="FFFFFF"/>
              <w:rPr>
                <w:rFonts w:ascii="Times New Roman" w:hAnsi="Times New Roman"/>
                <w:sz w:val="20"/>
                <w:szCs w:val="20"/>
              </w:rPr>
            </w:pPr>
            <w:r>
              <w:rPr>
                <w:rFonts w:hint="eastAsia" w:ascii="Times New Roman" w:hAnsi="Times New Roman"/>
                <w:b/>
                <w:bCs/>
                <w:sz w:val="20"/>
                <w:szCs w:val="20"/>
              </w:rPr>
              <w:t>1.</w:t>
            </w:r>
            <w:r>
              <w:rPr>
                <w:rFonts w:hint="eastAsia" w:ascii="Times New Roman" w:hAnsi="Times New Roman"/>
                <w:sz w:val="20"/>
                <w:szCs w:val="20"/>
              </w:rPr>
              <w:t>有货物类采购代理业绩，累计代理金额每有1亿元得0.5分，本子项最高得2分。</w:t>
            </w:r>
          </w:p>
          <w:p w14:paraId="43A8BF47">
            <w:pPr>
              <w:widowControl/>
              <w:shd w:val="clear" w:color="auto" w:fill="FFFFFF"/>
              <w:rPr>
                <w:rFonts w:ascii="Times New Roman" w:hAnsi="Times New Roman"/>
                <w:sz w:val="20"/>
                <w:szCs w:val="20"/>
              </w:rPr>
            </w:pPr>
            <w:r>
              <w:rPr>
                <w:rFonts w:hint="eastAsia" w:ascii="Times New Roman" w:hAnsi="Times New Roman"/>
                <w:b/>
                <w:bCs/>
                <w:sz w:val="20"/>
                <w:szCs w:val="20"/>
              </w:rPr>
              <w:t>2.</w:t>
            </w:r>
            <w:r>
              <w:rPr>
                <w:rFonts w:hint="eastAsia" w:ascii="Times New Roman" w:hAnsi="Times New Roman"/>
                <w:sz w:val="20"/>
                <w:szCs w:val="20"/>
              </w:rPr>
              <w:t>有服务类采购代理业绩，累计代理金额每有0.5亿元得0.5分，本子项最高得2分。</w:t>
            </w:r>
          </w:p>
          <w:p w14:paraId="3BBEE641">
            <w:pPr>
              <w:widowControl/>
              <w:shd w:val="clear" w:color="auto" w:fill="FFFFFF"/>
              <w:rPr>
                <w:rFonts w:ascii="Times New Roman" w:hAnsi="Times New Roman"/>
                <w:sz w:val="20"/>
                <w:szCs w:val="20"/>
              </w:rPr>
            </w:pPr>
            <w:r>
              <w:rPr>
                <w:rFonts w:hint="eastAsia" w:ascii="Times New Roman" w:hAnsi="Times New Roman"/>
                <w:b/>
                <w:bCs/>
                <w:sz w:val="20"/>
                <w:szCs w:val="20"/>
              </w:rPr>
              <w:t>3.</w:t>
            </w:r>
            <w:r>
              <w:rPr>
                <w:rFonts w:hint="eastAsia" w:ascii="Times New Roman" w:hAnsi="Times New Roman"/>
                <w:sz w:val="20"/>
                <w:szCs w:val="20"/>
              </w:rPr>
              <w:t>有工程类采购代理业绩，累计代理金额每有0.5亿元得0.5分，本子项最高得2分。</w:t>
            </w:r>
          </w:p>
          <w:p w14:paraId="25940ED3">
            <w:pPr>
              <w:widowControl/>
              <w:shd w:val="clear" w:color="auto" w:fill="FFFFFF"/>
              <w:rPr>
                <w:rFonts w:ascii="Times New Roman" w:hAnsi="Times New Roman"/>
                <w:sz w:val="20"/>
                <w:szCs w:val="20"/>
              </w:rPr>
            </w:pPr>
            <w:r>
              <w:rPr>
                <w:rFonts w:hint="eastAsia" w:ascii="Times New Roman" w:hAnsi="Times New Roman"/>
                <w:b/>
                <w:bCs/>
                <w:sz w:val="20"/>
                <w:szCs w:val="20"/>
              </w:rPr>
              <w:t>4.</w:t>
            </w:r>
            <w:r>
              <w:rPr>
                <w:rFonts w:hint="eastAsia" w:ascii="Times New Roman" w:hAnsi="Times New Roman"/>
                <w:sz w:val="20"/>
                <w:szCs w:val="20"/>
              </w:rPr>
              <w:t>根据2023年7月1日至递交比选申请文件截止日四川省政府采购网招标采购公告数量进行评分，每具有100个（不足100的部分不计分）得1分，本子项最高得10分。（以四川政府采购网www.ccgp-sichuan.gov.cn-公告信息-采购公告查询数据截图为准。“代理机构”处需要填写代理机构全称）。</w:t>
            </w:r>
          </w:p>
          <w:p w14:paraId="3C098BDF">
            <w:pPr>
              <w:widowControl/>
              <w:shd w:val="clear" w:color="auto" w:fill="FFFFFF"/>
              <w:rPr>
                <w:rFonts w:ascii="Times New Roman" w:hAnsi="Times New Roman"/>
                <w:sz w:val="20"/>
                <w:szCs w:val="20"/>
              </w:rPr>
            </w:pPr>
            <w:r>
              <w:rPr>
                <w:rFonts w:hint="eastAsia" w:ascii="Times New Roman" w:hAnsi="Times New Roman"/>
                <w:sz w:val="20"/>
                <w:szCs w:val="20"/>
              </w:rPr>
              <w:t>5.比选申请人四川政府采购网代理机构在线评价得分，每有一次80分以上的得1.5分，每有一次75分以上不足80分的得1分，每有一次60分以上不足75分的得0.5分，不足60分的不得分，本子项最高得4分。（提供四川政府采购网监管系统代理机构评价周期在线评价得分截图作为佐证，2025年1月1日至2025年6月30日、2025年1月1日至2025年12月31日、2026年1月1日至2026年6月30日分别各计一个评价周期）</w:t>
            </w:r>
          </w:p>
        </w:tc>
        <w:tc>
          <w:tcPr>
            <w:tcW w:w="3262" w:type="dxa"/>
            <w:tcBorders>
              <w:top w:val="single" w:color="auto" w:sz="4" w:space="0"/>
              <w:left w:val="single" w:color="auto" w:sz="4" w:space="0"/>
              <w:bottom w:val="single" w:color="auto" w:sz="4" w:space="0"/>
              <w:right w:val="single" w:color="auto" w:sz="4" w:space="0"/>
            </w:tcBorders>
            <w:vAlign w:val="center"/>
          </w:tcPr>
          <w:p w14:paraId="5547ADF9">
            <w:pPr>
              <w:ind w:left="-38"/>
              <w:rPr>
                <w:rFonts w:ascii="Times New Roman" w:hAnsi="Times New Roman"/>
                <w:sz w:val="20"/>
                <w:szCs w:val="20"/>
              </w:rPr>
            </w:pPr>
            <w:r>
              <w:rPr>
                <w:rFonts w:hint="eastAsia" w:ascii="Times New Roman" w:hAnsi="Times New Roman"/>
                <w:sz w:val="20"/>
                <w:szCs w:val="20"/>
              </w:rPr>
              <w:t>该评审因素1-3点，提供中标通知书或中标公告公示网页截图。</w:t>
            </w:r>
          </w:p>
        </w:tc>
      </w:tr>
      <w:tr w14:paraId="273F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1"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14:paraId="601A7CF6">
            <w:pPr>
              <w:jc w:val="center"/>
              <w:rPr>
                <w:rFonts w:ascii="Times New Roman" w:hAnsi="Times New Roman"/>
                <w:sz w:val="20"/>
                <w:szCs w:val="20"/>
              </w:rPr>
            </w:pPr>
            <w:r>
              <w:rPr>
                <w:rFonts w:hint="eastAsia" w:ascii="Times New Roman" w:hAnsi="Times New Roman"/>
                <w:sz w:val="20"/>
                <w:szCs w:val="20"/>
              </w:rPr>
              <w:t>4</w:t>
            </w:r>
          </w:p>
        </w:tc>
        <w:tc>
          <w:tcPr>
            <w:tcW w:w="1209" w:type="dxa"/>
            <w:tcBorders>
              <w:top w:val="single" w:color="auto" w:sz="4" w:space="0"/>
              <w:left w:val="single" w:color="auto" w:sz="4" w:space="0"/>
              <w:bottom w:val="single" w:color="auto" w:sz="4" w:space="0"/>
              <w:right w:val="single" w:color="auto" w:sz="4" w:space="0"/>
            </w:tcBorders>
            <w:vAlign w:val="center"/>
          </w:tcPr>
          <w:p w14:paraId="7338E3A6">
            <w:pPr>
              <w:ind w:left="48" w:leftChars="15" w:right="-35" w:rightChars="-11"/>
              <w:jc w:val="center"/>
              <w:rPr>
                <w:rFonts w:ascii="Times New Roman" w:hAnsi="Times New Roman"/>
                <w:sz w:val="20"/>
                <w:szCs w:val="20"/>
              </w:rPr>
            </w:pPr>
            <w:r>
              <w:rPr>
                <w:rFonts w:hint="eastAsia" w:ascii="Times New Roman" w:hAnsi="Times New Roman"/>
                <w:sz w:val="20"/>
                <w:szCs w:val="20"/>
              </w:rPr>
              <w:t>服务场地15%</w:t>
            </w:r>
          </w:p>
        </w:tc>
        <w:tc>
          <w:tcPr>
            <w:tcW w:w="709" w:type="dxa"/>
            <w:tcBorders>
              <w:top w:val="single" w:color="auto" w:sz="4" w:space="0"/>
              <w:left w:val="single" w:color="auto" w:sz="4" w:space="0"/>
              <w:bottom w:val="single" w:color="auto" w:sz="4" w:space="0"/>
              <w:right w:val="single" w:color="auto" w:sz="4" w:space="0"/>
            </w:tcBorders>
            <w:vAlign w:val="center"/>
          </w:tcPr>
          <w:p w14:paraId="688241ED">
            <w:pPr>
              <w:jc w:val="center"/>
              <w:rPr>
                <w:rFonts w:ascii="Times New Roman" w:hAnsi="Times New Roman"/>
                <w:sz w:val="20"/>
                <w:szCs w:val="20"/>
              </w:rPr>
            </w:pPr>
            <w:r>
              <w:rPr>
                <w:rFonts w:hint="eastAsia" w:ascii="Times New Roman" w:hAnsi="Times New Roman"/>
                <w:sz w:val="20"/>
                <w:szCs w:val="20"/>
              </w:rPr>
              <w:t>15</w:t>
            </w:r>
          </w:p>
        </w:tc>
        <w:tc>
          <w:tcPr>
            <w:tcW w:w="9284" w:type="dxa"/>
            <w:tcBorders>
              <w:top w:val="single" w:color="auto" w:sz="4" w:space="0"/>
              <w:left w:val="single" w:color="auto" w:sz="4" w:space="0"/>
              <w:bottom w:val="single" w:color="auto" w:sz="4" w:space="0"/>
              <w:right w:val="single" w:color="auto" w:sz="4" w:space="0"/>
            </w:tcBorders>
            <w:vAlign w:val="center"/>
          </w:tcPr>
          <w:p w14:paraId="68280D38">
            <w:pPr>
              <w:widowControl/>
              <w:shd w:val="clear" w:color="auto" w:fill="FFFFFF"/>
              <w:rPr>
                <w:rFonts w:ascii="Times New Roman" w:hAnsi="Times New Roman"/>
                <w:sz w:val="20"/>
                <w:szCs w:val="20"/>
              </w:rPr>
            </w:pPr>
            <w:r>
              <w:rPr>
                <w:rFonts w:hint="eastAsia" w:ascii="Times New Roman" w:hAnsi="Times New Roman"/>
                <w:b/>
                <w:bCs/>
                <w:sz w:val="20"/>
                <w:szCs w:val="20"/>
              </w:rPr>
              <w:t>1.</w:t>
            </w:r>
            <w:r>
              <w:rPr>
                <w:rFonts w:hint="eastAsia" w:ascii="Times New Roman" w:hAnsi="Times New Roman"/>
                <w:sz w:val="20"/>
                <w:szCs w:val="20"/>
              </w:rPr>
              <w:t>提供成都市（限</w:t>
            </w:r>
            <w:r>
              <w:rPr>
                <w:rFonts w:hint="eastAsia" w:ascii="Times New Roman" w:hAnsi="Times New Roman" w:cs="仿宋_GB2312"/>
                <w:sz w:val="20"/>
                <w:szCs w:val="20"/>
              </w:rPr>
              <w:t>锦江区、青羊区、金牛区、武侯区、成华区、高新区、天府新区）本地开评标等办公场地面积在1500</w:t>
            </w:r>
            <w:r>
              <w:rPr>
                <w:rFonts w:hint="eastAsia" w:ascii="Times New Roman" w:hAnsi="Times New Roman" w:eastAsia="宋体" w:cs="宋体"/>
                <w:sz w:val="20"/>
                <w:szCs w:val="20"/>
              </w:rPr>
              <w:t>㎡</w:t>
            </w:r>
            <w:r>
              <w:rPr>
                <w:rFonts w:hint="eastAsia" w:ascii="Times New Roman" w:hAnsi="Times New Roman" w:cs="仿宋_GB2312"/>
                <w:sz w:val="20"/>
                <w:szCs w:val="20"/>
              </w:rPr>
              <w:t>以上得5分；1000</w:t>
            </w:r>
            <w:r>
              <w:rPr>
                <w:rFonts w:hint="eastAsia" w:ascii="Times New Roman" w:hAnsi="Times New Roman" w:eastAsia="宋体" w:cs="宋体"/>
                <w:sz w:val="20"/>
                <w:szCs w:val="20"/>
              </w:rPr>
              <w:t>㎡</w:t>
            </w:r>
            <w:r>
              <w:rPr>
                <w:rFonts w:hint="eastAsia" w:ascii="Times New Roman" w:hAnsi="Times New Roman" w:cs="仿宋_GB2312"/>
                <w:sz w:val="20"/>
                <w:szCs w:val="20"/>
              </w:rPr>
              <w:t>（含）-1500</w:t>
            </w:r>
            <w:r>
              <w:rPr>
                <w:rFonts w:hint="eastAsia" w:ascii="Times New Roman" w:hAnsi="Times New Roman" w:eastAsia="宋体" w:cs="宋体"/>
                <w:sz w:val="20"/>
                <w:szCs w:val="20"/>
              </w:rPr>
              <w:t>㎡</w:t>
            </w:r>
            <w:r>
              <w:rPr>
                <w:rFonts w:hint="eastAsia" w:ascii="Times New Roman" w:hAnsi="Times New Roman" w:cs="仿宋_GB2312"/>
                <w:sz w:val="20"/>
                <w:szCs w:val="20"/>
              </w:rPr>
              <w:t>的得4分；500</w:t>
            </w:r>
            <w:r>
              <w:rPr>
                <w:rFonts w:hint="eastAsia" w:ascii="Times New Roman" w:hAnsi="Times New Roman" w:eastAsia="宋体" w:cs="宋体"/>
                <w:sz w:val="20"/>
                <w:szCs w:val="20"/>
              </w:rPr>
              <w:t>㎡</w:t>
            </w:r>
            <w:r>
              <w:rPr>
                <w:rFonts w:hint="eastAsia" w:ascii="Times New Roman" w:hAnsi="Times New Roman" w:cs="仿宋_GB2312"/>
                <w:sz w:val="20"/>
                <w:szCs w:val="20"/>
              </w:rPr>
              <w:t>（含）-1000</w:t>
            </w:r>
            <w:r>
              <w:rPr>
                <w:rFonts w:hint="eastAsia" w:ascii="Times New Roman" w:hAnsi="Times New Roman" w:eastAsia="宋体" w:cs="宋体"/>
                <w:sz w:val="20"/>
                <w:szCs w:val="20"/>
              </w:rPr>
              <w:t>㎡</w:t>
            </w:r>
            <w:r>
              <w:rPr>
                <w:rFonts w:hint="eastAsia" w:ascii="Times New Roman" w:hAnsi="Times New Roman" w:cs="仿宋_GB2312"/>
                <w:sz w:val="20"/>
                <w:szCs w:val="20"/>
              </w:rPr>
              <w:t>（不含）得3分；300</w:t>
            </w:r>
            <w:r>
              <w:rPr>
                <w:rFonts w:hint="eastAsia" w:ascii="Times New Roman" w:hAnsi="Times New Roman" w:eastAsia="宋体" w:cs="宋体"/>
                <w:sz w:val="20"/>
                <w:szCs w:val="20"/>
              </w:rPr>
              <w:t>㎡</w:t>
            </w:r>
            <w:r>
              <w:rPr>
                <w:rFonts w:hint="eastAsia" w:ascii="Times New Roman" w:hAnsi="Times New Roman" w:cs="仿宋_GB2312"/>
                <w:sz w:val="20"/>
                <w:szCs w:val="20"/>
              </w:rPr>
              <w:t>（含）-500</w:t>
            </w:r>
            <w:r>
              <w:rPr>
                <w:rFonts w:hint="eastAsia" w:ascii="Times New Roman" w:hAnsi="Times New Roman" w:eastAsia="宋体" w:cs="宋体"/>
                <w:sz w:val="20"/>
                <w:szCs w:val="20"/>
              </w:rPr>
              <w:t>㎡</w:t>
            </w:r>
            <w:r>
              <w:rPr>
                <w:rFonts w:hint="eastAsia" w:ascii="Times New Roman" w:hAnsi="Times New Roman" w:cs="仿宋_GB2312"/>
                <w:sz w:val="20"/>
                <w:szCs w:val="20"/>
              </w:rPr>
              <w:t>（不含）得2分；300</w:t>
            </w:r>
            <w:r>
              <w:rPr>
                <w:rFonts w:hint="eastAsia" w:ascii="Times New Roman" w:hAnsi="Times New Roman" w:eastAsia="宋体" w:cs="宋体"/>
                <w:sz w:val="20"/>
                <w:szCs w:val="20"/>
              </w:rPr>
              <w:t>㎡</w:t>
            </w:r>
            <w:r>
              <w:rPr>
                <w:rFonts w:hint="eastAsia" w:ascii="Times New Roman" w:hAnsi="Times New Roman" w:cs="仿宋_GB2312"/>
                <w:sz w:val="20"/>
                <w:szCs w:val="20"/>
              </w:rPr>
              <w:t>以下不得分，未提供证明不得分。</w:t>
            </w:r>
            <w:r>
              <w:rPr>
                <w:rFonts w:hint="eastAsia" w:ascii="Times New Roman" w:hAnsi="Times New Roman"/>
                <w:sz w:val="20"/>
                <w:szCs w:val="20"/>
              </w:rPr>
              <w:t>本子项最高得5分</w:t>
            </w:r>
            <w:r>
              <w:rPr>
                <w:rFonts w:hint="eastAsia" w:ascii="Times New Roman" w:hAnsi="Times New Roman" w:cs="仿宋_GB2312"/>
                <w:sz w:val="20"/>
                <w:szCs w:val="20"/>
              </w:rPr>
              <w:t>。（以中国政府采购网备案评审场地平方米数截图为准，同时提供房产证或租房合同、现场照片等相关支撑材料</w:t>
            </w:r>
            <w:r>
              <w:rPr>
                <w:rFonts w:hint="eastAsia" w:ascii="Times New Roman" w:hAnsi="Times New Roman"/>
                <w:sz w:val="20"/>
                <w:szCs w:val="20"/>
              </w:rPr>
              <w:t>。比选人可以进行实地考察，如实际情况与比选申请书描述不一致的，将取消中选资格）</w:t>
            </w:r>
          </w:p>
          <w:p w14:paraId="638FFB4D">
            <w:pPr>
              <w:widowControl/>
              <w:shd w:val="clear" w:color="auto" w:fill="FFFFFF"/>
              <w:rPr>
                <w:rFonts w:ascii="Times New Roman" w:hAnsi="Times New Roman"/>
                <w:sz w:val="20"/>
                <w:szCs w:val="20"/>
              </w:rPr>
            </w:pPr>
            <w:r>
              <w:rPr>
                <w:rFonts w:hint="eastAsia" w:ascii="Times New Roman" w:hAnsi="Times New Roman"/>
                <w:b/>
                <w:bCs/>
                <w:sz w:val="20"/>
                <w:szCs w:val="20"/>
              </w:rPr>
              <w:t>2.</w:t>
            </w:r>
            <w:r>
              <w:rPr>
                <w:rFonts w:hint="eastAsia" w:ascii="Times New Roman" w:hAnsi="Times New Roman"/>
                <w:sz w:val="20"/>
                <w:szCs w:val="20"/>
              </w:rPr>
              <w:t>开评标分区合理，有单独的监督室（0.5分）、休息室（0.5分）、开标厅（0.5分）、评标室（0.5分）等必要功能用房，并有呼叫系统（0.5分）、门禁系统（0.5分）、监控及录音录像系统（1分）。本子项最高得4分，未满足或未提供证明不得分。（提供办公场地现场照片，能反映现场设施、布局等条件）</w:t>
            </w:r>
          </w:p>
          <w:p w14:paraId="25A8B0A3">
            <w:pPr>
              <w:widowControl/>
              <w:shd w:val="clear" w:color="auto" w:fill="FFFFFF"/>
              <w:rPr>
                <w:rFonts w:ascii="Times New Roman" w:hAnsi="Times New Roman"/>
                <w:sz w:val="20"/>
                <w:szCs w:val="20"/>
              </w:rPr>
            </w:pPr>
            <w:r>
              <w:rPr>
                <w:rFonts w:hint="eastAsia" w:ascii="Times New Roman" w:hAnsi="Times New Roman"/>
                <w:b/>
                <w:bCs/>
                <w:sz w:val="20"/>
                <w:szCs w:val="20"/>
              </w:rPr>
              <w:t>3.</w:t>
            </w:r>
            <w:r>
              <w:rPr>
                <w:rFonts w:hint="eastAsia" w:ascii="Times New Roman" w:hAnsi="Times New Roman"/>
                <w:sz w:val="20"/>
                <w:szCs w:val="20"/>
              </w:rPr>
              <w:t>具有电子评标室，每有1间得1分，本子项最高得4分。（提供办公场地现场照片，能反映现场设施、布局等条件）</w:t>
            </w:r>
          </w:p>
          <w:p w14:paraId="538D13C3">
            <w:pPr>
              <w:widowControl/>
              <w:shd w:val="clear" w:color="auto" w:fill="FFFFFF"/>
              <w:rPr>
                <w:rFonts w:ascii="Times New Roman" w:hAnsi="Times New Roman"/>
                <w:sz w:val="20"/>
                <w:szCs w:val="20"/>
              </w:rPr>
            </w:pPr>
            <w:r>
              <w:rPr>
                <w:rFonts w:hint="eastAsia" w:ascii="Times New Roman" w:hAnsi="Times New Roman"/>
                <w:b/>
                <w:bCs/>
                <w:sz w:val="20"/>
                <w:szCs w:val="20"/>
              </w:rPr>
              <w:t>4.</w:t>
            </w:r>
            <w:r>
              <w:rPr>
                <w:rFonts w:hint="eastAsia" w:ascii="Times New Roman" w:hAnsi="Times New Roman"/>
                <w:sz w:val="20"/>
                <w:szCs w:val="20"/>
              </w:rPr>
              <w:t>具有固定的采购档案存放场所，能满足采购档案保管要求的得2分，不具有或未提供证明不得分。本子项最高得2分。（提供现场照片、房产证或租房合同复印件）</w:t>
            </w:r>
          </w:p>
        </w:tc>
        <w:tc>
          <w:tcPr>
            <w:tcW w:w="3262" w:type="dxa"/>
            <w:tcBorders>
              <w:top w:val="single" w:color="auto" w:sz="4" w:space="0"/>
              <w:left w:val="single" w:color="auto" w:sz="4" w:space="0"/>
              <w:bottom w:val="single" w:color="auto" w:sz="4" w:space="0"/>
              <w:right w:val="single" w:color="auto" w:sz="4" w:space="0"/>
            </w:tcBorders>
            <w:vAlign w:val="center"/>
          </w:tcPr>
          <w:p w14:paraId="663C02AB">
            <w:pPr>
              <w:ind w:left="-38" w:firstLine="400" w:firstLineChars="200"/>
              <w:jc w:val="left"/>
              <w:rPr>
                <w:rFonts w:ascii="Times New Roman" w:hAnsi="Times New Roman"/>
                <w:sz w:val="20"/>
                <w:szCs w:val="20"/>
              </w:rPr>
            </w:pPr>
          </w:p>
        </w:tc>
      </w:tr>
      <w:tr w14:paraId="3FA8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6"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14:paraId="4214AF5F">
            <w:pPr>
              <w:jc w:val="center"/>
              <w:rPr>
                <w:rFonts w:ascii="Times New Roman" w:hAnsi="Times New Roman"/>
                <w:sz w:val="20"/>
                <w:szCs w:val="20"/>
              </w:rPr>
            </w:pPr>
            <w:r>
              <w:rPr>
                <w:rFonts w:hint="eastAsia" w:ascii="Times New Roman" w:hAnsi="Times New Roman"/>
                <w:sz w:val="20"/>
                <w:szCs w:val="20"/>
              </w:rPr>
              <w:t>5</w:t>
            </w:r>
          </w:p>
        </w:tc>
        <w:tc>
          <w:tcPr>
            <w:tcW w:w="1209" w:type="dxa"/>
            <w:tcBorders>
              <w:top w:val="single" w:color="auto" w:sz="4" w:space="0"/>
              <w:left w:val="single" w:color="auto" w:sz="4" w:space="0"/>
              <w:bottom w:val="single" w:color="auto" w:sz="4" w:space="0"/>
              <w:right w:val="single" w:color="auto" w:sz="4" w:space="0"/>
            </w:tcBorders>
            <w:vAlign w:val="center"/>
          </w:tcPr>
          <w:p w14:paraId="2E98A455">
            <w:pPr>
              <w:ind w:left="48" w:leftChars="15" w:right="-109" w:rightChars="-34"/>
              <w:jc w:val="center"/>
              <w:rPr>
                <w:rFonts w:ascii="Times New Roman" w:hAnsi="Times New Roman"/>
                <w:sz w:val="20"/>
                <w:szCs w:val="20"/>
              </w:rPr>
            </w:pPr>
            <w:r>
              <w:rPr>
                <w:rFonts w:hint="eastAsia" w:ascii="Times New Roman" w:hAnsi="Times New Roman"/>
                <w:sz w:val="20"/>
                <w:szCs w:val="20"/>
              </w:rPr>
              <w:t>综合实力10%</w:t>
            </w:r>
          </w:p>
        </w:tc>
        <w:tc>
          <w:tcPr>
            <w:tcW w:w="709" w:type="dxa"/>
            <w:tcBorders>
              <w:top w:val="single" w:color="auto" w:sz="4" w:space="0"/>
              <w:left w:val="single" w:color="auto" w:sz="4" w:space="0"/>
              <w:bottom w:val="single" w:color="auto" w:sz="4" w:space="0"/>
              <w:right w:val="single" w:color="auto" w:sz="4" w:space="0"/>
            </w:tcBorders>
            <w:vAlign w:val="center"/>
          </w:tcPr>
          <w:p w14:paraId="30E51C09">
            <w:pPr>
              <w:jc w:val="center"/>
              <w:rPr>
                <w:rFonts w:ascii="Times New Roman" w:hAnsi="Times New Roman"/>
                <w:sz w:val="20"/>
                <w:szCs w:val="20"/>
              </w:rPr>
            </w:pPr>
            <w:r>
              <w:rPr>
                <w:rFonts w:hint="eastAsia" w:ascii="Times New Roman" w:hAnsi="Times New Roman"/>
                <w:sz w:val="20"/>
                <w:szCs w:val="20"/>
              </w:rPr>
              <w:t>10</w:t>
            </w:r>
          </w:p>
        </w:tc>
        <w:tc>
          <w:tcPr>
            <w:tcW w:w="9284" w:type="dxa"/>
            <w:tcBorders>
              <w:top w:val="single" w:color="auto" w:sz="4" w:space="0"/>
              <w:left w:val="single" w:color="auto" w:sz="4" w:space="0"/>
              <w:bottom w:val="single" w:color="auto" w:sz="4" w:space="0"/>
              <w:right w:val="single" w:color="auto" w:sz="4" w:space="0"/>
            </w:tcBorders>
            <w:vAlign w:val="center"/>
          </w:tcPr>
          <w:p w14:paraId="60713FDD">
            <w:pPr>
              <w:widowControl/>
              <w:shd w:val="clear" w:color="auto" w:fill="FFFFFF"/>
              <w:rPr>
                <w:rFonts w:ascii="Times New Roman" w:hAnsi="Times New Roman"/>
                <w:sz w:val="20"/>
                <w:szCs w:val="20"/>
              </w:rPr>
            </w:pPr>
            <w:r>
              <w:rPr>
                <w:rFonts w:hint="eastAsia" w:ascii="Times New Roman" w:hAnsi="Times New Roman"/>
                <w:b/>
                <w:bCs/>
                <w:sz w:val="20"/>
                <w:szCs w:val="20"/>
              </w:rPr>
              <w:t>1.</w:t>
            </w:r>
            <w:r>
              <w:rPr>
                <w:rFonts w:hint="eastAsia" w:ascii="Times New Roman" w:hAnsi="Times New Roman"/>
                <w:sz w:val="20"/>
                <w:szCs w:val="20"/>
              </w:rPr>
              <w:t>通过质量管理体系认证的得1分，本子项最高得2分。（提供有效证书及国家市场监督管理总局全国认证认可信息公共服务平台查询截图）。</w:t>
            </w:r>
          </w:p>
          <w:p w14:paraId="73ABDCC5">
            <w:pPr>
              <w:widowControl/>
              <w:shd w:val="clear" w:color="auto" w:fill="FFFFFF"/>
              <w:rPr>
                <w:rFonts w:ascii="Times New Roman" w:hAnsi="Times New Roman"/>
                <w:sz w:val="20"/>
                <w:szCs w:val="20"/>
              </w:rPr>
            </w:pPr>
            <w:r>
              <w:rPr>
                <w:rFonts w:hint="eastAsia" w:ascii="Times New Roman" w:hAnsi="Times New Roman"/>
                <w:b/>
                <w:bCs/>
                <w:sz w:val="20"/>
                <w:szCs w:val="20"/>
              </w:rPr>
              <w:t>2.</w:t>
            </w:r>
            <w:r>
              <w:rPr>
                <w:rFonts w:hint="eastAsia" w:ascii="Times New Roman" w:hAnsi="Times New Roman"/>
                <w:sz w:val="20"/>
                <w:szCs w:val="20"/>
              </w:rPr>
              <w:t>2023年7月1日至递交比选申请文件截止日，获得过全国性招标采购公告媒体（指中国政府采购报或中国采购与招标网或中国国际招标网）颁发的荣誉，每有1个得1分，本子项最高得5分。（提供荣誉证书复印件）</w:t>
            </w:r>
          </w:p>
          <w:p w14:paraId="23416974">
            <w:pPr>
              <w:widowControl/>
              <w:shd w:val="clear" w:color="auto" w:fill="FFFFFF"/>
              <w:rPr>
                <w:rFonts w:ascii="Times New Roman" w:hAnsi="Times New Roman"/>
                <w:sz w:val="20"/>
                <w:szCs w:val="20"/>
              </w:rPr>
            </w:pPr>
            <w:r>
              <w:rPr>
                <w:rFonts w:hint="eastAsia" w:ascii="Times New Roman" w:hAnsi="Times New Roman"/>
                <w:sz w:val="20"/>
                <w:szCs w:val="20"/>
              </w:rPr>
              <w:t>3.2023年7月1日至今参加财政部门或建设主管部门组织的政府采购制度、政策、文件等咨询论证，每提供1份得1分，本子项最高得3分。（提供省、市级财政部门或省、市级建设主管部门邀请函复印件）。</w:t>
            </w:r>
          </w:p>
        </w:tc>
        <w:tc>
          <w:tcPr>
            <w:tcW w:w="3262" w:type="dxa"/>
            <w:tcBorders>
              <w:top w:val="single" w:color="auto" w:sz="4" w:space="0"/>
              <w:left w:val="single" w:color="auto" w:sz="4" w:space="0"/>
              <w:bottom w:val="single" w:color="auto" w:sz="4" w:space="0"/>
              <w:right w:val="single" w:color="auto" w:sz="4" w:space="0"/>
            </w:tcBorders>
            <w:vAlign w:val="center"/>
          </w:tcPr>
          <w:p w14:paraId="1F775299">
            <w:pPr>
              <w:jc w:val="left"/>
              <w:rPr>
                <w:rFonts w:ascii="Times New Roman" w:hAnsi="Times New Roman"/>
                <w:sz w:val="20"/>
                <w:szCs w:val="20"/>
              </w:rPr>
            </w:pPr>
          </w:p>
        </w:tc>
      </w:tr>
      <w:tr w14:paraId="18AD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4"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14:paraId="3A9E95F1">
            <w:pPr>
              <w:jc w:val="center"/>
              <w:rPr>
                <w:rFonts w:ascii="Times New Roman" w:hAnsi="Times New Roman"/>
                <w:sz w:val="20"/>
                <w:szCs w:val="20"/>
              </w:rPr>
            </w:pPr>
            <w:r>
              <w:rPr>
                <w:rFonts w:hint="eastAsia" w:ascii="Times New Roman" w:hAnsi="Times New Roman"/>
                <w:sz w:val="20"/>
                <w:szCs w:val="20"/>
              </w:rPr>
              <w:t>6</w:t>
            </w:r>
          </w:p>
        </w:tc>
        <w:tc>
          <w:tcPr>
            <w:tcW w:w="1209" w:type="dxa"/>
            <w:tcBorders>
              <w:top w:val="single" w:color="auto" w:sz="4" w:space="0"/>
              <w:left w:val="single" w:color="auto" w:sz="4" w:space="0"/>
              <w:bottom w:val="single" w:color="auto" w:sz="4" w:space="0"/>
              <w:right w:val="single" w:color="auto" w:sz="4" w:space="0"/>
            </w:tcBorders>
            <w:vAlign w:val="center"/>
          </w:tcPr>
          <w:p w14:paraId="70EB1192">
            <w:pPr>
              <w:ind w:left="48" w:leftChars="15" w:right="-109" w:rightChars="-34"/>
              <w:jc w:val="center"/>
              <w:rPr>
                <w:rFonts w:ascii="Times New Roman" w:hAnsi="Times New Roman"/>
                <w:sz w:val="20"/>
                <w:szCs w:val="20"/>
              </w:rPr>
            </w:pPr>
            <w:r>
              <w:rPr>
                <w:rFonts w:hint="eastAsia" w:ascii="Times New Roman" w:hAnsi="Times New Roman"/>
                <w:sz w:val="20"/>
                <w:szCs w:val="20"/>
              </w:rPr>
              <w:t>服务方案25%</w:t>
            </w:r>
          </w:p>
        </w:tc>
        <w:tc>
          <w:tcPr>
            <w:tcW w:w="709" w:type="dxa"/>
            <w:tcBorders>
              <w:top w:val="single" w:color="auto" w:sz="4" w:space="0"/>
              <w:left w:val="single" w:color="auto" w:sz="4" w:space="0"/>
              <w:bottom w:val="single" w:color="auto" w:sz="4" w:space="0"/>
              <w:right w:val="single" w:color="auto" w:sz="4" w:space="0"/>
            </w:tcBorders>
            <w:vAlign w:val="center"/>
          </w:tcPr>
          <w:p w14:paraId="050DF1C6">
            <w:pPr>
              <w:jc w:val="center"/>
              <w:rPr>
                <w:rFonts w:ascii="Times New Roman" w:hAnsi="Times New Roman"/>
                <w:sz w:val="20"/>
                <w:szCs w:val="20"/>
              </w:rPr>
            </w:pPr>
            <w:r>
              <w:rPr>
                <w:rFonts w:hint="eastAsia" w:ascii="Times New Roman" w:hAnsi="Times New Roman"/>
                <w:sz w:val="20"/>
                <w:szCs w:val="20"/>
              </w:rPr>
              <w:t>25</w:t>
            </w:r>
          </w:p>
        </w:tc>
        <w:tc>
          <w:tcPr>
            <w:tcW w:w="9284" w:type="dxa"/>
            <w:tcBorders>
              <w:top w:val="single" w:color="auto" w:sz="4" w:space="0"/>
              <w:left w:val="single" w:color="auto" w:sz="4" w:space="0"/>
              <w:bottom w:val="single" w:color="auto" w:sz="4" w:space="0"/>
              <w:right w:val="single" w:color="auto" w:sz="4" w:space="0"/>
            </w:tcBorders>
            <w:vAlign w:val="center"/>
          </w:tcPr>
          <w:p w14:paraId="0300E36B">
            <w:pPr>
              <w:widowControl/>
              <w:shd w:val="clear" w:color="auto" w:fill="FFFFFF"/>
              <w:rPr>
                <w:rFonts w:ascii="Times New Roman" w:hAnsi="Times New Roman"/>
                <w:kern w:val="0"/>
                <w:sz w:val="20"/>
                <w:szCs w:val="20"/>
              </w:rPr>
            </w:pPr>
            <w:r>
              <w:rPr>
                <w:rFonts w:hint="eastAsia" w:ascii="Times New Roman" w:hAnsi="Times New Roman"/>
                <w:sz w:val="20"/>
                <w:szCs w:val="20"/>
              </w:rPr>
              <w:t>根据采购人采购项目特征制定服务方案，包含但不限于：</w:t>
            </w:r>
            <w:r>
              <w:rPr>
                <w:rFonts w:hint="eastAsia" w:ascii="Times New Roman" w:hAnsi="Times New Roman" w:cs="宋体"/>
                <w:sz w:val="20"/>
                <w:szCs w:val="20"/>
              </w:rPr>
              <w:t>①</w:t>
            </w:r>
            <w:r>
              <w:rPr>
                <w:rFonts w:hint="eastAsia" w:ascii="Times New Roman" w:hAnsi="Times New Roman"/>
                <w:sz w:val="20"/>
                <w:szCs w:val="20"/>
              </w:rPr>
              <w:t>服务保障（公司组织架构、部门规范、岗位配置、时效管理、进度管理、质量控制）；</w:t>
            </w:r>
            <w:r>
              <w:rPr>
                <w:rFonts w:hint="eastAsia" w:ascii="Times New Roman" w:hAnsi="Times New Roman" w:cs="宋体"/>
                <w:sz w:val="20"/>
                <w:szCs w:val="20"/>
              </w:rPr>
              <w:t>②</w:t>
            </w:r>
            <w:r>
              <w:rPr>
                <w:rFonts w:hint="eastAsia" w:ascii="Times New Roman" w:hAnsi="Times New Roman"/>
                <w:sz w:val="20"/>
                <w:szCs w:val="20"/>
              </w:rPr>
              <w:t>项目实施（需求管理、文件编制、系统推送、信息发布、开评标组织、项目复核、资料移交、质疑投诉处理、备案资料制作及移交）；</w:t>
            </w:r>
            <w:r>
              <w:rPr>
                <w:rFonts w:hint="eastAsia" w:ascii="Times New Roman" w:hAnsi="Times New Roman" w:cs="宋体"/>
                <w:sz w:val="20"/>
                <w:szCs w:val="20"/>
              </w:rPr>
              <w:t>③</w:t>
            </w:r>
            <w:r>
              <w:rPr>
                <w:rFonts w:hint="eastAsia" w:ascii="Times New Roman" w:hAnsi="Times New Roman"/>
                <w:sz w:val="20"/>
                <w:szCs w:val="20"/>
              </w:rPr>
              <w:t>档案管理（档案运输、管理制度、调档流程）；</w:t>
            </w:r>
            <w:r>
              <w:rPr>
                <w:rFonts w:hint="eastAsia" w:ascii="Times New Roman" w:hAnsi="Times New Roman" w:cs="宋体"/>
                <w:sz w:val="20"/>
                <w:szCs w:val="20"/>
              </w:rPr>
              <w:t>④</w:t>
            </w:r>
            <w:r>
              <w:rPr>
                <w:rFonts w:hint="eastAsia" w:ascii="Times New Roman" w:hAnsi="Times New Roman"/>
                <w:sz w:val="20"/>
                <w:szCs w:val="20"/>
              </w:rPr>
              <w:t>采购管理咨询服务（政策解读、业务指导、日常咨询）；</w:t>
            </w:r>
            <w:r>
              <w:rPr>
                <w:rFonts w:hint="eastAsia" w:ascii="Times New Roman" w:hAnsi="Times New Roman" w:cs="宋体"/>
                <w:sz w:val="20"/>
                <w:szCs w:val="20"/>
              </w:rPr>
              <w:t>⑤</w:t>
            </w:r>
            <w:r>
              <w:rPr>
                <w:rFonts w:hint="eastAsia" w:ascii="Times New Roman" w:hAnsi="Times New Roman"/>
                <w:sz w:val="20"/>
                <w:szCs w:val="20"/>
              </w:rPr>
              <w:t>内控管理（项目流程、内控机制、风险点管控、廉洁纪律、保密措施）。方案完整、清晰合理、可行性强，完全满足实际需求，得25分；每有一项缺失或不完整扣5分，扣完为止；每有一项内容不完善扣2.5分（不完善是指：内容不合理、可行性不足、无法实现预期或不符合现行法律法规要求等）。</w:t>
            </w:r>
          </w:p>
        </w:tc>
        <w:tc>
          <w:tcPr>
            <w:tcW w:w="3262" w:type="dxa"/>
            <w:tcBorders>
              <w:top w:val="single" w:color="auto" w:sz="4" w:space="0"/>
              <w:left w:val="single" w:color="auto" w:sz="4" w:space="0"/>
              <w:bottom w:val="single" w:color="auto" w:sz="4" w:space="0"/>
              <w:right w:val="single" w:color="auto" w:sz="4" w:space="0"/>
            </w:tcBorders>
            <w:vAlign w:val="center"/>
          </w:tcPr>
          <w:p w14:paraId="542132F9">
            <w:pPr>
              <w:jc w:val="left"/>
              <w:rPr>
                <w:rFonts w:ascii="Times New Roman" w:hAnsi="Times New Roman"/>
                <w:sz w:val="20"/>
                <w:szCs w:val="20"/>
              </w:rPr>
            </w:pPr>
            <w:r>
              <w:rPr>
                <w:rFonts w:hint="eastAsia" w:ascii="Times New Roman" w:hAnsi="Times New Roman"/>
                <w:sz w:val="20"/>
                <w:szCs w:val="20"/>
              </w:rPr>
              <w:t>根据提供的资料进行评审。</w:t>
            </w:r>
          </w:p>
        </w:tc>
      </w:tr>
    </w:tbl>
    <w:p w14:paraId="4BD5984D">
      <w:pPr>
        <w:tabs>
          <w:tab w:val="left" w:pos="884"/>
          <w:tab w:val="left" w:pos="2093"/>
          <w:tab w:val="left" w:pos="2802"/>
          <w:tab w:val="left" w:pos="12085"/>
        </w:tabs>
        <w:ind w:left="250"/>
        <w:rPr>
          <w:rFonts w:ascii="Times New Roman" w:hAnsi="Times New Roman"/>
          <w:sz w:val="20"/>
          <w:szCs w:val="20"/>
        </w:rPr>
      </w:pPr>
    </w:p>
    <w:p w14:paraId="5C40AB9F">
      <w:pPr>
        <w:tabs>
          <w:tab w:val="left" w:pos="884"/>
          <w:tab w:val="left" w:pos="2093"/>
          <w:tab w:val="left" w:pos="2802"/>
          <w:tab w:val="left" w:pos="12085"/>
        </w:tabs>
        <w:ind w:left="250"/>
        <w:rPr>
          <w:rFonts w:ascii="Times New Roman" w:hAnsi="Times New Roman"/>
          <w:sz w:val="20"/>
          <w:szCs w:val="20"/>
        </w:rPr>
      </w:pPr>
    </w:p>
    <w:bookmarkEnd w:id="1"/>
    <w:p w14:paraId="3804D0F3">
      <w:pPr>
        <w:spacing w:line="560" w:lineRule="exact"/>
        <w:rPr>
          <w:rFonts w:ascii="仿宋_GB2312" w:hAnsi="黑体"/>
          <w:szCs w:val="32"/>
        </w:rPr>
        <w:sectPr>
          <w:footerReference r:id="rId3" w:type="default"/>
          <w:footerReference r:id="rId4" w:type="even"/>
          <w:pgSz w:w="16838" w:h="11906" w:orient="landscape"/>
          <w:pgMar w:top="1531" w:right="1531" w:bottom="1531" w:left="1531" w:header="1134" w:footer="1247" w:gutter="0"/>
          <w:cols w:space="425" w:num="1"/>
          <w:docGrid w:linePitch="435" w:charSpace="0"/>
        </w:sectPr>
      </w:pPr>
    </w:p>
    <w:p w14:paraId="0AA18A54">
      <w:pPr>
        <w:spacing w:line="600" w:lineRule="exact"/>
        <w:ind w:firstLine="480" w:firstLineChars="200"/>
        <w:rPr>
          <w:rFonts w:ascii="Times New Roman" w:hAnsi="Times New Roman"/>
          <w:sz w:val="24"/>
          <w:szCs w:val="24"/>
        </w:rPr>
      </w:pPr>
      <w:bookmarkStart w:id="2" w:name="_GoBack"/>
      <w:bookmarkEnd w:id="2"/>
    </w:p>
    <w:sectPr>
      <w:pgSz w:w="11906" w:h="16838"/>
      <w:pgMar w:top="2098" w:right="1474" w:bottom="1984" w:left="1587" w:header="1701" w:footer="1587" w:gutter="0"/>
      <w:cols w:space="425"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49FD3">
    <w:pPr>
      <w:pStyle w:val="7"/>
      <w:framePr w:wrap="around" w:vAnchor="text" w:hAnchor="margin" w:xAlign="outside" w:y="1"/>
      <w:ind w:right="320" w:rightChars="100"/>
      <w:rPr>
        <w:rStyle w:val="12"/>
        <w:rFonts w:ascii="宋体" w:hAnsi="宋体" w:eastAsia="宋体"/>
        <w:sz w:val="28"/>
        <w:szCs w:val="28"/>
      </w:rPr>
    </w:pPr>
    <w:r>
      <w:rPr>
        <w:rStyle w:val="12"/>
        <w:rFonts w:hint="eastAsia" w:ascii="宋体" w:hAnsi="宋体" w:eastAsia="宋体"/>
        <w:sz w:val="28"/>
        <w:szCs w:val="28"/>
      </w:rPr>
      <w:t xml:space="preserve">— </w:t>
    </w:r>
    <w:r>
      <w:rPr>
        <w:rStyle w:val="12"/>
        <w:rFonts w:ascii="宋体" w:hAnsi="宋体" w:eastAsia="宋体"/>
        <w:sz w:val="28"/>
        <w:szCs w:val="28"/>
      </w:rPr>
      <w:fldChar w:fldCharType="begin"/>
    </w:r>
    <w:r>
      <w:rPr>
        <w:rStyle w:val="12"/>
        <w:rFonts w:ascii="宋体" w:hAnsi="宋体" w:eastAsia="宋体"/>
        <w:sz w:val="28"/>
        <w:szCs w:val="28"/>
      </w:rPr>
      <w:instrText xml:space="preserve">PAGE  </w:instrText>
    </w:r>
    <w:r>
      <w:rPr>
        <w:rStyle w:val="12"/>
        <w:rFonts w:ascii="宋体" w:hAnsi="宋体" w:eastAsia="宋体"/>
        <w:sz w:val="28"/>
        <w:szCs w:val="28"/>
      </w:rPr>
      <w:fldChar w:fldCharType="separate"/>
    </w:r>
    <w:r>
      <w:rPr>
        <w:rStyle w:val="12"/>
        <w:rFonts w:ascii="宋体" w:hAnsi="宋体" w:eastAsia="宋体"/>
        <w:sz w:val="28"/>
        <w:szCs w:val="28"/>
      </w:rPr>
      <w:t>5</w:t>
    </w:r>
    <w:r>
      <w:rPr>
        <w:rStyle w:val="12"/>
        <w:rFonts w:ascii="宋体" w:hAnsi="宋体" w:eastAsia="宋体"/>
        <w:sz w:val="28"/>
        <w:szCs w:val="28"/>
      </w:rPr>
      <w:fldChar w:fldCharType="end"/>
    </w:r>
    <w:r>
      <w:rPr>
        <w:rStyle w:val="12"/>
        <w:rFonts w:hint="eastAsia" w:ascii="宋体" w:hAnsi="宋体" w:eastAsia="宋体"/>
        <w:sz w:val="28"/>
        <w:szCs w:val="28"/>
      </w:rPr>
      <w:t xml:space="preserve"> —</w:t>
    </w:r>
  </w:p>
  <w:p w14:paraId="2314071E">
    <w:pPr>
      <w:pStyle w:val="7"/>
      <w:ind w:right="567" w:firstLine="35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8B445">
    <w:pPr>
      <w:pStyle w:val="7"/>
      <w:framePr w:wrap="around" w:vAnchor="text" w:hAnchor="margin" w:xAlign="outside" w:y="1"/>
      <w:ind w:left="320" w:leftChars="100"/>
      <w:rPr>
        <w:rStyle w:val="12"/>
        <w:rFonts w:ascii="宋体" w:hAnsi="宋体" w:eastAsia="宋体"/>
        <w:sz w:val="28"/>
        <w:szCs w:val="28"/>
      </w:rPr>
    </w:pPr>
    <w:r>
      <w:rPr>
        <w:rStyle w:val="12"/>
        <w:rFonts w:hint="eastAsia" w:ascii="宋体" w:hAnsi="宋体" w:eastAsia="宋体"/>
        <w:sz w:val="28"/>
        <w:szCs w:val="28"/>
      </w:rPr>
      <w:t xml:space="preserve">— </w:t>
    </w:r>
    <w:r>
      <w:rPr>
        <w:rStyle w:val="12"/>
        <w:rFonts w:ascii="宋体" w:hAnsi="宋体" w:eastAsia="宋体"/>
        <w:sz w:val="28"/>
        <w:szCs w:val="28"/>
      </w:rPr>
      <w:fldChar w:fldCharType="begin"/>
    </w:r>
    <w:r>
      <w:rPr>
        <w:rStyle w:val="12"/>
        <w:rFonts w:ascii="宋体" w:hAnsi="宋体" w:eastAsia="宋体"/>
        <w:sz w:val="28"/>
        <w:szCs w:val="28"/>
      </w:rPr>
      <w:instrText xml:space="preserve">PAGE  </w:instrText>
    </w:r>
    <w:r>
      <w:rPr>
        <w:rStyle w:val="12"/>
        <w:rFonts w:ascii="宋体" w:hAnsi="宋体" w:eastAsia="宋体"/>
        <w:sz w:val="28"/>
        <w:szCs w:val="28"/>
      </w:rPr>
      <w:fldChar w:fldCharType="separate"/>
    </w:r>
    <w:r>
      <w:rPr>
        <w:rStyle w:val="12"/>
        <w:rFonts w:ascii="宋体" w:hAnsi="宋体" w:eastAsia="宋体"/>
        <w:sz w:val="28"/>
        <w:szCs w:val="28"/>
      </w:rPr>
      <w:t>6</w:t>
    </w:r>
    <w:r>
      <w:rPr>
        <w:rStyle w:val="12"/>
        <w:rFonts w:ascii="宋体" w:hAnsi="宋体" w:eastAsia="宋体"/>
        <w:sz w:val="28"/>
        <w:szCs w:val="28"/>
      </w:rPr>
      <w:fldChar w:fldCharType="end"/>
    </w:r>
    <w:r>
      <w:rPr>
        <w:rStyle w:val="12"/>
        <w:rFonts w:hint="eastAsia" w:ascii="宋体" w:hAnsi="宋体" w:eastAsia="宋体"/>
        <w:sz w:val="28"/>
        <w:szCs w:val="28"/>
      </w:rPr>
      <w:t xml:space="preserve"> —</w:t>
    </w:r>
  </w:p>
  <w:p w14:paraId="7B486CAA">
    <w:pPr>
      <w:pStyle w:val="7"/>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iYzZlYTUwM2UwZmQ1YjY1YTk1NDViNjQzNjhkNWEifQ=="/>
  </w:docVars>
  <w:rsids>
    <w:rsidRoot w:val="006F5F1E"/>
    <w:rsid w:val="000207CA"/>
    <w:rsid w:val="00027B73"/>
    <w:rsid w:val="00027D6D"/>
    <w:rsid w:val="00034E64"/>
    <w:rsid w:val="00051C51"/>
    <w:rsid w:val="00072379"/>
    <w:rsid w:val="000733D1"/>
    <w:rsid w:val="000877EA"/>
    <w:rsid w:val="000B0A6D"/>
    <w:rsid w:val="000D08FA"/>
    <w:rsid w:val="000D2D96"/>
    <w:rsid w:val="000E45E3"/>
    <w:rsid w:val="000F4FBB"/>
    <w:rsid w:val="00102BAB"/>
    <w:rsid w:val="0011187C"/>
    <w:rsid w:val="00111E91"/>
    <w:rsid w:val="00112420"/>
    <w:rsid w:val="00116C26"/>
    <w:rsid w:val="001266D2"/>
    <w:rsid w:val="00142E17"/>
    <w:rsid w:val="00146322"/>
    <w:rsid w:val="00162216"/>
    <w:rsid w:val="00171C94"/>
    <w:rsid w:val="001B42BA"/>
    <w:rsid w:val="001B4866"/>
    <w:rsid w:val="001D0956"/>
    <w:rsid w:val="001E13A5"/>
    <w:rsid w:val="001E2865"/>
    <w:rsid w:val="001F2960"/>
    <w:rsid w:val="001F3B8E"/>
    <w:rsid w:val="001F413E"/>
    <w:rsid w:val="001F52B2"/>
    <w:rsid w:val="001F6DA8"/>
    <w:rsid w:val="00200431"/>
    <w:rsid w:val="00217DAB"/>
    <w:rsid w:val="002221C7"/>
    <w:rsid w:val="00222256"/>
    <w:rsid w:val="00227E0B"/>
    <w:rsid w:val="002648C3"/>
    <w:rsid w:val="00273D7A"/>
    <w:rsid w:val="0027426C"/>
    <w:rsid w:val="00277991"/>
    <w:rsid w:val="00284CD6"/>
    <w:rsid w:val="00286561"/>
    <w:rsid w:val="00292AAF"/>
    <w:rsid w:val="002A43EE"/>
    <w:rsid w:val="002C684D"/>
    <w:rsid w:val="002D6932"/>
    <w:rsid w:val="002E36B3"/>
    <w:rsid w:val="002F5EF2"/>
    <w:rsid w:val="00302C3C"/>
    <w:rsid w:val="003048D2"/>
    <w:rsid w:val="00314555"/>
    <w:rsid w:val="00325908"/>
    <w:rsid w:val="00327055"/>
    <w:rsid w:val="003271A3"/>
    <w:rsid w:val="00336917"/>
    <w:rsid w:val="00345558"/>
    <w:rsid w:val="00345F72"/>
    <w:rsid w:val="003507BC"/>
    <w:rsid w:val="00364BE0"/>
    <w:rsid w:val="00396E1F"/>
    <w:rsid w:val="003A34ED"/>
    <w:rsid w:val="003B2B4E"/>
    <w:rsid w:val="003B5140"/>
    <w:rsid w:val="003B5601"/>
    <w:rsid w:val="004164D3"/>
    <w:rsid w:val="0042104D"/>
    <w:rsid w:val="00426B51"/>
    <w:rsid w:val="0045358B"/>
    <w:rsid w:val="00463734"/>
    <w:rsid w:val="004659EB"/>
    <w:rsid w:val="0047572B"/>
    <w:rsid w:val="0049411B"/>
    <w:rsid w:val="004B3681"/>
    <w:rsid w:val="004C323F"/>
    <w:rsid w:val="004E1578"/>
    <w:rsid w:val="004E283A"/>
    <w:rsid w:val="004F09D1"/>
    <w:rsid w:val="004F0B03"/>
    <w:rsid w:val="00506E0D"/>
    <w:rsid w:val="00511CC2"/>
    <w:rsid w:val="00515BC2"/>
    <w:rsid w:val="00516A65"/>
    <w:rsid w:val="00516EE5"/>
    <w:rsid w:val="00520694"/>
    <w:rsid w:val="00520AF1"/>
    <w:rsid w:val="00531BEA"/>
    <w:rsid w:val="005320A0"/>
    <w:rsid w:val="005522DF"/>
    <w:rsid w:val="00580EA3"/>
    <w:rsid w:val="00584561"/>
    <w:rsid w:val="0058769E"/>
    <w:rsid w:val="005A3709"/>
    <w:rsid w:val="005A6321"/>
    <w:rsid w:val="005C2846"/>
    <w:rsid w:val="005D033C"/>
    <w:rsid w:val="00613048"/>
    <w:rsid w:val="00630BD1"/>
    <w:rsid w:val="006344E2"/>
    <w:rsid w:val="00636027"/>
    <w:rsid w:val="00645A63"/>
    <w:rsid w:val="00646A75"/>
    <w:rsid w:val="0066391B"/>
    <w:rsid w:val="00664BE5"/>
    <w:rsid w:val="00672ED4"/>
    <w:rsid w:val="006743F7"/>
    <w:rsid w:val="00683912"/>
    <w:rsid w:val="00692A7E"/>
    <w:rsid w:val="006A72E4"/>
    <w:rsid w:val="006B7755"/>
    <w:rsid w:val="006B7819"/>
    <w:rsid w:val="006C1421"/>
    <w:rsid w:val="006C3901"/>
    <w:rsid w:val="006C3FE2"/>
    <w:rsid w:val="006C6ACF"/>
    <w:rsid w:val="006D0243"/>
    <w:rsid w:val="006D0693"/>
    <w:rsid w:val="006E47A1"/>
    <w:rsid w:val="006F5F1E"/>
    <w:rsid w:val="007620C5"/>
    <w:rsid w:val="0076494C"/>
    <w:rsid w:val="00771F66"/>
    <w:rsid w:val="00773D5E"/>
    <w:rsid w:val="00782E16"/>
    <w:rsid w:val="00794B2C"/>
    <w:rsid w:val="007A4516"/>
    <w:rsid w:val="007B1C5E"/>
    <w:rsid w:val="007B4CBA"/>
    <w:rsid w:val="007C5BAF"/>
    <w:rsid w:val="007D55BD"/>
    <w:rsid w:val="007D7576"/>
    <w:rsid w:val="007F2818"/>
    <w:rsid w:val="00802A58"/>
    <w:rsid w:val="008431F4"/>
    <w:rsid w:val="00850378"/>
    <w:rsid w:val="008537FB"/>
    <w:rsid w:val="00867454"/>
    <w:rsid w:val="00880624"/>
    <w:rsid w:val="008B733E"/>
    <w:rsid w:val="008C5871"/>
    <w:rsid w:val="008E4674"/>
    <w:rsid w:val="008F24FF"/>
    <w:rsid w:val="009010D9"/>
    <w:rsid w:val="00906B56"/>
    <w:rsid w:val="00923321"/>
    <w:rsid w:val="0093039F"/>
    <w:rsid w:val="00933BB9"/>
    <w:rsid w:val="00941EE0"/>
    <w:rsid w:val="00952085"/>
    <w:rsid w:val="00952CCA"/>
    <w:rsid w:val="009533CC"/>
    <w:rsid w:val="00956413"/>
    <w:rsid w:val="00960384"/>
    <w:rsid w:val="00970D25"/>
    <w:rsid w:val="00982990"/>
    <w:rsid w:val="009967C5"/>
    <w:rsid w:val="009A5C2D"/>
    <w:rsid w:val="009C02DD"/>
    <w:rsid w:val="009C1B5F"/>
    <w:rsid w:val="009C3570"/>
    <w:rsid w:val="009D6E3E"/>
    <w:rsid w:val="009E02A3"/>
    <w:rsid w:val="009E2945"/>
    <w:rsid w:val="009E61CE"/>
    <w:rsid w:val="009F1873"/>
    <w:rsid w:val="009F360F"/>
    <w:rsid w:val="00A21CAF"/>
    <w:rsid w:val="00A65AF9"/>
    <w:rsid w:val="00A67AC7"/>
    <w:rsid w:val="00A87EB0"/>
    <w:rsid w:val="00A92F2E"/>
    <w:rsid w:val="00AA21F0"/>
    <w:rsid w:val="00AC50D0"/>
    <w:rsid w:val="00AC746D"/>
    <w:rsid w:val="00AD3B2A"/>
    <w:rsid w:val="00AE65BE"/>
    <w:rsid w:val="00AE7613"/>
    <w:rsid w:val="00AF6E83"/>
    <w:rsid w:val="00B03B0A"/>
    <w:rsid w:val="00B26EDA"/>
    <w:rsid w:val="00B44FBE"/>
    <w:rsid w:val="00B47B3F"/>
    <w:rsid w:val="00B72309"/>
    <w:rsid w:val="00B85ABE"/>
    <w:rsid w:val="00BB7DDC"/>
    <w:rsid w:val="00BC449A"/>
    <w:rsid w:val="00BD7E33"/>
    <w:rsid w:val="00BD7F7D"/>
    <w:rsid w:val="00C23532"/>
    <w:rsid w:val="00C26914"/>
    <w:rsid w:val="00C671F7"/>
    <w:rsid w:val="00C724CC"/>
    <w:rsid w:val="00C80884"/>
    <w:rsid w:val="00CC4CED"/>
    <w:rsid w:val="00CC69E8"/>
    <w:rsid w:val="00CD65CF"/>
    <w:rsid w:val="00CF7038"/>
    <w:rsid w:val="00D00B6B"/>
    <w:rsid w:val="00D02336"/>
    <w:rsid w:val="00D106A7"/>
    <w:rsid w:val="00D23818"/>
    <w:rsid w:val="00D27C19"/>
    <w:rsid w:val="00D400BA"/>
    <w:rsid w:val="00D414BD"/>
    <w:rsid w:val="00D538FF"/>
    <w:rsid w:val="00D63180"/>
    <w:rsid w:val="00D729BE"/>
    <w:rsid w:val="00D75C45"/>
    <w:rsid w:val="00D830F9"/>
    <w:rsid w:val="00D85FC6"/>
    <w:rsid w:val="00DA0E61"/>
    <w:rsid w:val="00DA4F6D"/>
    <w:rsid w:val="00DB2E5C"/>
    <w:rsid w:val="00DB51BE"/>
    <w:rsid w:val="00DC3D42"/>
    <w:rsid w:val="00DC7A13"/>
    <w:rsid w:val="00E021DC"/>
    <w:rsid w:val="00E154B9"/>
    <w:rsid w:val="00E3588B"/>
    <w:rsid w:val="00E41A7C"/>
    <w:rsid w:val="00E65288"/>
    <w:rsid w:val="00E719E7"/>
    <w:rsid w:val="00E855FB"/>
    <w:rsid w:val="00E93428"/>
    <w:rsid w:val="00E96DC1"/>
    <w:rsid w:val="00EC4B50"/>
    <w:rsid w:val="00ED53DF"/>
    <w:rsid w:val="00ED7707"/>
    <w:rsid w:val="00EE66BF"/>
    <w:rsid w:val="00F01038"/>
    <w:rsid w:val="00F145BD"/>
    <w:rsid w:val="00F15609"/>
    <w:rsid w:val="00F3249F"/>
    <w:rsid w:val="00F4380D"/>
    <w:rsid w:val="00F43D5B"/>
    <w:rsid w:val="00F52DC5"/>
    <w:rsid w:val="00F76A26"/>
    <w:rsid w:val="00F7714E"/>
    <w:rsid w:val="00F83435"/>
    <w:rsid w:val="00F969A5"/>
    <w:rsid w:val="00FA3292"/>
    <w:rsid w:val="00FB334F"/>
    <w:rsid w:val="00FC454B"/>
    <w:rsid w:val="00FE3921"/>
    <w:rsid w:val="00FE3E6B"/>
    <w:rsid w:val="00FF1407"/>
    <w:rsid w:val="10693B0A"/>
    <w:rsid w:val="13FB05A9"/>
    <w:rsid w:val="292201D9"/>
    <w:rsid w:val="2AAB2417"/>
    <w:rsid w:val="2BEB3FBF"/>
    <w:rsid w:val="3FFBE0CF"/>
    <w:rsid w:val="6D2630BD"/>
    <w:rsid w:val="77D3CFB3"/>
    <w:rsid w:val="FDFF7F99"/>
    <w:rsid w:val="FFBD7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paragraph" w:styleId="2">
    <w:name w:val="heading 1"/>
    <w:basedOn w:val="1"/>
    <w:next w:val="1"/>
    <w:link w:val="17"/>
    <w:qFormat/>
    <w:uiPriority w:val="0"/>
    <w:pPr>
      <w:keepNext/>
      <w:keepLines/>
      <w:spacing w:line="560" w:lineRule="exact"/>
      <w:ind w:firstLine="200" w:firstLineChars="200"/>
      <w:outlineLvl w:val="0"/>
    </w:pPr>
    <w:rPr>
      <w:rFonts w:ascii="Times New Roman" w:hAnsi="Times New Roman" w:eastAsia="黑体" w:cstheme="minorBidi"/>
      <w:bCs/>
      <w:kern w:val="44"/>
      <w:szCs w:val="44"/>
    </w:rPr>
  </w:style>
  <w:style w:type="paragraph" w:styleId="3">
    <w:name w:val="heading 2"/>
    <w:basedOn w:val="1"/>
    <w:next w:val="1"/>
    <w:link w:val="18"/>
    <w:semiHidden/>
    <w:unhideWhenUsed/>
    <w:qFormat/>
    <w:uiPriority w:val="9"/>
    <w:pPr>
      <w:keepNext/>
      <w:keepLines/>
      <w:spacing w:before="260" w:after="260" w:line="416" w:lineRule="auto"/>
      <w:outlineLvl w:val="1"/>
    </w:pPr>
    <w:rPr>
      <w:rFonts w:asciiTheme="majorHAnsi" w:hAnsiTheme="majorHAnsi" w:eastAsiaTheme="majorEastAsia" w:cstheme="majorBidi"/>
      <w:b/>
      <w:bCs/>
      <w:szCs w:val="32"/>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Date"/>
    <w:basedOn w:val="1"/>
    <w:next w:val="1"/>
    <w:link w:val="16"/>
    <w:semiHidden/>
    <w:unhideWhenUsed/>
    <w:qFormat/>
    <w:uiPriority w:val="99"/>
    <w:pPr>
      <w:ind w:left="100" w:leftChars="2500"/>
    </w:pPr>
  </w:style>
  <w:style w:type="paragraph" w:styleId="6">
    <w:name w:val="Balloon Text"/>
    <w:basedOn w:val="1"/>
    <w:link w:val="19"/>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59"/>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semiHidden/>
    <w:unhideWhenUsed/>
    <w:qFormat/>
    <w:uiPriority w:val="99"/>
  </w:style>
  <w:style w:type="character" w:styleId="13">
    <w:name w:val="annotation reference"/>
    <w:basedOn w:val="11"/>
    <w:semiHidden/>
    <w:unhideWhenUsed/>
    <w:qFormat/>
    <w:uiPriority w:val="99"/>
    <w:rPr>
      <w:sz w:val="21"/>
      <w:szCs w:val="21"/>
    </w:rPr>
  </w:style>
  <w:style w:type="character" w:customStyle="1" w:styleId="14">
    <w:name w:val="页眉 字符"/>
    <w:link w:val="8"/>
    <w:qFormat/>
    <w:uiPriority w:val="99"/>
    <w:rPr>
      <w:kern w:val="2"/>
      <w:sz w:val="18"/>
      <w:szCs w:val="18"/>
    </w:rPr>
  </w:style>
  <w:style w:type="character" w:customStyle="1" w:styleId="15">
    <w:name w:val="页脚 字符"/>
    <w:link w:val="7"/>
    <w:qFormat/>
    <w:uiPriority w:val="99"/>
    <w:rPr>
      <w:kern w:val="2"/>
      <w:sz w:val="18"/>
      <w:szCs w:val="18"/>
    </w:rPr>
  </w:style>
  <w:style w:type="character" w:customStyle="1" w:styleId="16">
    <w:name w:val="日期 字符"/>
    <w:basedOn w:val="11"/>
    <w:link w:val="5"/>
    <w:semiHidden/>
    <w:qFormat/>
    <w:uiPriority w:val="99"/>
    <w:rPr>
      <w:kern w:val="2"/>
      <w:sz w:val="32"/>
      <w:szCs w:val="22"/>
    </w:rPr>
  </w:style>
  <w:style w:type="character" w:customStyle="1" w:styleId="17">
    <w:name w:val="标题 1 字符"/>
    <w:basedOn w:val="11"/>
    <w:link w:val="2"/>
    <w:qFormat/>
    <w:uiPriority w:val="0"/>
    <w:rPr>
      <w:rFonts w:ascii="Times New Roman" w:hAnsi="Times New Roman" w:eastAsia="黑体" w:cstheme="minorBidi"/>
      <w:bCs/>
      <w:kern w:val="44"/>
      <w:sz w:val="32"/>
      <w:szCs w:val="44"/>
    </w:rPr>
  </w:style>
  <w:style w:type="character" w:customStyle="1" w:styleId="18">
    <w:name w:val="标题 2 字符"/>
    <w:basedOn w:val="11"/>
    <w:link w:val="3"/>
    <w:semiHidden/>
    <w:qFormat/>
    <w:uiPriority w:val="9"/>
    <w:rPr>
      <w:rFonts w:asciiTheme="majorHAnsi" w:hAnsiTheme="majorHAnsi" w:eastAsiaTheme="majorEastAsia" w:cstheme="majorBidi"/>
      <w:b/>
      <w:bCs/>
      <w:kern w:val="2"/>
      <w:sz w:val="32"/>
      <w:szCs w:val="32"/>
    </w:rPr>
  </w:style>
  <w:style w:type="character" w:customStyle="1" w:styleId="19">
    <w:name w:val="批注框文本 字符"/>
    <w:basedOn w:val="11"/>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3267</Words>
  <Characters>3400</Characters>
  <Lines>55</Lines>
  <Paragraphs>15</Paragraphs>
  <TotalTime>1652</TotalTime>
  <ScaleCrop>false</ScaleCrop>
  <LinksUpToDate>false</LinksUpToDate>
  <CharactersWithSpaces>3401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2025-09-03T01:32:00Z</dcterms:created>
  <dc:creator>税伯高</dc:creator>
  <cp:lastModifiedBy>胡建伟</cp:lastModifiedBy>
  <cp:lastPrinted>2025-08-15T16:32:00Z</cp:lastPrinted>
  <dcterms:modified xsi:type="dcterms:W3CDTF">2026-08-17T02:58:27Z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9545B9726AEF43918E7DBFF73F3809A3_13</vt:lpwstr>
  </property>
  <property fmtid="{D5CDD505-2E9C-101B-9397-08002B2CF9AE}" pid="4" name="KSOTemplateDocerSaveRecord">
    <vt:lpwstr>eyJoZGlkIjoiYWU4ODcyZTJlZWFiNjFhYmQzMTcxZWUwODQ0OGI0YmEiLCJ1c2VySWQiOiI1NDIyMzAwMzAifQ==</vt:lpwstr>
  </property>
</Properties>
</file>