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F2E75">
      <w:pPr>
        <w:rPr>
          <w:rFonts w:ascii="黑体" w:hAnsi="黑体" w:eastAsia="黑体"/>
          <w:szCs w:val="32"/>
        </w:rPr>
      </w:pPr>
      <w:r>
        <w:rPr>
          <w:rFonts w:hint="eastAsia" w:ascii="黑体" w:hAnsi="黑体" w:eastAsia="黑体"/>
          <w:szCs w:val="32"/>
        </w:rPr>
        <w:t>附件3</w:t>
      </w:r>
    </w:p>
    <w:p w14:paraId="6CD5F53B">
      <w:pPr>
        <w:spacing w:line="560" w:lineRule="exact"/>
        <w:jc w:val="center"/>
        <w:rPr>
          <w:rFonts w:ascii="方正小标宋简体" w:hAnsi="Times New Roman" w:eastAsia="方正小标宋简体"/>
          <w:sz w:val="44"/>
          <w:szCs w:val="44"/>
          <w:lang w:bidi="ar"/>
        </w:rPr>
      </w:pPr>
      <w:r>
        <w:rPr>
          <w:rFonts w:hint="eastAsia" w:ascii="方正小标宋简体" w:hAnsi="Times New Roman" w:eastAsia="方正小标宋简体"/>
          <w:sz w:val="44"/>
          <w:szCs w:val="44"/>
          <w:lang w:bidi="ar"/>
        </w:rPr>
        <w:t>评审标准</w:t>
      </w:r>
    </w:p>
    <w:p w14:paraId="43004262">
      <w:pPr>
        <w:ind w:firstLine="560" w:firstLineChars="200"/>
        <w:rPr>
          <w:rFonts w:ascii="Times New Roman" w:hAnsi="Times New Roman"/>
          <w:szCs w:val="44"/>
          <w:lang w:bidi="ar"/>
        </w:rPr>
      </w:pP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380"/>
        <w:gridCol w:w="756"/>
        <w:gridCol w:w="4675"/>
        <w:gridCol w:w="913"/>
      </w:tblGrid>
      <w:tr w14:paraId="6295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465" w:type="pct"/>
            <w:tcBorders>
              <w:top w:val="single" w:color="auto" w:sz="4" w:space="0"/>
              <w:left w:val="single" w:color="auto" w:sz="4" w:space="0"/>
              <w:bottom w:val="single" w:color="auto" w:sz="4" w:space="0"/>
              <w:right w:val="single" w:color="auto" w:sz="4" w:space="0"/>
            </w:tcBorders>
            <w:vAlign w:val="center"/>
          </w:tcPr>
          <w:p w14:paraId="12391967">
            <w:pPr>
              <w:snapToGrid w:val="0"/>
              <w:spacing w:line="440" w:lineRule="exact"/>
              <w:jc w:val="center"/>
              <w:rPr>
                <w:rFonts w:ascii="Times New Roman" w:hAnsi="Times New Roman" w:eastAsia="仿宋" w:cs="宋体"/>
                <w:b/>
                <w:snapToGrid w:val="0"/>
                <w:sz w:val="24"/>
              </w:rPr>
            </w:pPr>
            <w:r>
              <w:rPr>
                <w:rFonts w:hint="eastAsia" w:ascii="Times New Roman" w:hAnsi="Times New Roman" w:eastAsia="仿宋" w:cs="宋体"/>
                <w:b/>
                <w:snapToGrid w:val="0"/>
                <w:sz w:val="24"/>
              </w:rPr>
              <w:t>序号</w:t>
            </w:r>
          </w:p>
        </w:tc>
        <w:tc>
          <w:tcPr>
            <w:tcW w:w="810" w:type="pct"/>
            <w:tcBorders>
              <w:top w:val="single" w:color="auto" w:sz="4" w:space="0"/>
              <w:left w:val="single" w:color="auto" w:sz="4" w:space="0"/>
              <w:bottom w:val="single" w:color="auto" w:sz="4" w:space="0"/>
              <w:right w:val="single" w:color="auto" w:sz="4" w:space="0"/>
            </w:tcBorders>
            <w:vAlign w:val="center"/>
          </w:tcPr>
          <w:p w14:paraId="290E4967">
            <w:pPr>
              <w:spacing w:line="440" w:lineRule="exact"/>
              <w:jc w:val="center"/>
              <w:rPr>
                <w:rFonts w:ascii="Times New Roman" w:hAnsi="Times New Roman" w:eastAsia="仿宋" w:cs="宋体"/>
                <w:b/>
                <w:sz w:val="24"/>
              </w:rPr>
            </w:pPr>
            <w:r>
              <w:rPr>
                <w:rFonts w:hint="eastAsia" w:ascii="Times New Roman" w:hAnsi="Times New Roman" w:eastAsia="仿宋" w:cs="宋体"/>
                <w:b/>
                <w:sz w:val="24"/>
              </w:rPr>
              <w:t>评分因素</w:t>
            </w:r>
          </w:p>
        </w:tc>
        <w:tc>
          <w:tcPr>
            <w:tcW w:w="444" w:type="pct"/>
            <w:tcBorders>
              <w:top w:val="single" w:color="auto" w:sz="4" w:space="0"/>
              <w:left w:val="single" w:color="auto" w:sz="4" w:space="0"/>
              <w:bottom w:val="single" w:color="auto" w:sz="4" w:space="0"/>
              <w:right w:val="single" w:color="auto" w:sz="4" w:space="0"/>
            </w:tcBorders>
            <w:vAlign w:val="center"/>
          </w:tcPr>
          <w:p w14:paraId="23B8E32A">
            <w:pPr>
              <w:spacing w:line="440" w:lineRule="exact"/>
              <w:jc w:val="center"/>
              <w:rPr>
                <w:rFonts w:ascii="Times New Roman" w:hAnsi="Times New Roman" w:eastAsia="仿宋" w:cs="宋体"/>
                <w:b/>
                <w:snapToGrid w:val="0"/>
                <w:sz w:val="24"/>
              </w:rPr>
            </w:pPr>
            <w:r>
              <w:rPr>
                <w:rFonts w:hint="eastAsia" w:ascii="Times New Roman" w:hAnsi="Times New Roman" w:eastAsia="仿宋" w:cs="宋体"/>
                <w:b/>
                <w:snapToGrid w:val="0"/>
                <w:sz w:val="24"/>
              </w:rPr>
              <w:t>分值</w:t>
            </w:r>
          </w:p>
        </w:tc>
        <w:tc>
          <w:tcPr>
            <w:tcW w:w="2744" w:type="pct"/>
            <w:tcBorders>
              <w:top w:val="single" w:color="auto" w:sz="4" w:space="0"/>
              <w:left w:val="single" w:color="auto" w:sz="4" w:space="0"/>
              <w:bottom w:val="single" w:color="auto" w:sz="4" w:space="0"/>
              <w:right w:val="single" w:color="auto" w:sz="4" w:space="0"/>
            </w:tcBorders>
            <w:vAlign w:val="center"/>
          </w:tcPr>
          <w:p w14:paraId="2A40E4CA">
            <w:pPr>
              <w:spacing w:line="440" w:lineRule="exact"/>
              <w:rPr>
                <w:rFonts w:ascii="Times New Roman" w:hAnsi="Times New Roman" w:eastAsia="仿宋"/>
                <w:b/>
                <w:sz w:val="24"/>
              </w:rPr>
            </w:pPr>
            <w:r>
              <w:rPr>
                <w:rFonts w:hint="eastAsia" w:ascii="Times New Roman" w:hAnsi="Times New Roman" w:eastAsia="仿宋"/>
                <w:b/>
                <w:sz w:val="24"/>
              </w:rPr>
              <w:t>评分标准</w:t>
            </w:r>
          </w:p>
        </w:tc>
        <w:tc>
          <w:tcPr>
            <w:tcW w:w="535" w:type="pct"/>
            <w:tcBorders>
              <w:top w:val="single" w:color="auto" w:sz="4" w:space="0"/>
              <w:left w:val="single" w:color="auto" w:sz="4" w:space="0"/>
              <w:bottom w:val="single" w:color="auto" w:sz="4" w:space="0"/>
              <w:right w:val="single" w:color="auto" w:sz="4" w:space="0"/>
            </w:tcBorders>
            <w:vAlign w:val="center"/>
          </w:tcPr>
          <w:p w14:paraId="1F656C45">
            <w:pPr>
              <w:spacing w:line="440" w:lineRule="exact"/>
              <w:rPr>
                <w:rFonts w:ascii="Times New Roman" w:hAnsi="Times New Roman" w:eastAsia="仿宋" w:cs="宋体"/>
                <w:b/>
                <w:snapToGrid w:val="0"/>
                <w:sz w:val="24"/>
              </w:rPr>
            </w:pPr>
            <w:r>
              <w:rPr>
                <w:rFonts w:hint="eastAsia" w:ascii="Times New Roman" w:hAnsi="Times New Roman" w:eastAsia="仿宋" w:cs="宋体"/>
                <w:b/>
                <w:snapToGrid w:val="0"/>
                <w:sz w:val="24"/>
              </w:rPr>
              <w:t>备注</w:t>
            </w:r>
          </w:p>
        </w:tc>
      </w:tr>
      <w:tr w14:paraId="1C3F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465" w:type="pct"/>
            <w:tcBorders>
              <w:top w:val="single" w:color="auto" w:sz="4" w:space="0"/>
              <w:left w:val="single" w:color="auto" w:sz="4" w:space="0"/>
              <w:bottom w:val="single" w:color="auto" w:sz="4" w:space="0"/>
              <w:right w:val="single" w:color="auto" w:sz="4" w:space="0"/>
            </w:tcBorders>
            <w:vAlign w:val="center"/>
          </w:tcPr>
          <w:p w14:paraId="44E20774">
            <w:pPr>
              <w:snapToGrid w:val="0"/>
              <w:spacing w:line="440" w:lineRule="exact"/>
              <w:jc w:val="center"/>
              <w:rPr>
                <w:rFonts w:ascii="Times New Roman" w:hAnsi="Times New Roman" w:eastAsia="仿宋" w:cs="宋体"/>
                <w:snapToGrid w:val="0"/>
                <w:sz w:val="24"/>
              </w:rPr>
            </w:pPr>
            <w:r>
              <w:rPr>
                <w:rFonts w:ascii="Times New Roman" w:hAnsi="Times New Roman" w:eastAsia="仿宋" w:cs="宋体"/>
                <w:snapToGrid w:val="0"/>
                <w:sz w:val="24"/>
              </w:rPr>
              <w:t>1</w:t>
            </w:r>
          </w:p>
        </w:tc>
        <w:tc>
          <w:tcPr>
            <w:tcW w:w="810" w:type="pct"/>
            <w:tcBorders>
              <w:top w:val="single" w:color="auto" w:sz="4" w:space="0"/>
              <w:left w:val="single" w:color="auto" w:sz="4" w:space="0"/>
              <w:bottom w:val="single" w:color="auto" w:sz="4" w:space="0"/>
              <w:right w:val="single" w:color="auto" w:sz="4" w:space="0"/>
            </w:tcBorders>
            <w:vAlign w:val="center"/>
          </w:tcPr>
          <w:p w14:paraId="4F739067">
            <w:pPr>
              <w:spacing w:line="440" w:lineRule="exact"/>
              <w:jc w:val="center"/>
              <w:rPr>
                <w:rFonts w:ascii="Times New Roman" w:hAnsi="Times New Roman" w:eastAsia="仿宋" w:cs="仿宋"/>
                <w:snapToGrid w:val="0"/>
                <w:sz w:val="24"/>
              </w:rPr>
            </w:pPr>
            <w:r>
              <w:rPr>
                <w:rFonts w:hint="eastAsia" w:ascii="Times New Roman" w:hAnsi="Times New Roman" w:eastAsia="仿宋" w:cs="仿宋"/>
                <w:sz w:val="24"/>
              </w:rPr>
              <w:t>报价</w:t>
            </w:r>
          </w:p>
        </w:tc>
        <w:tc>
          <w:tcPr>
            <w:tcW w:w="444" w:type="pct"/>
            <w:tcBorders>
              <w:top w:val="single" w:color="auto" w:sz="4" w:space="0"/>
              <w:left w:val="single" w:color="auto" w:sz="4" w:space="0"/>
              <w:bottom w:val="single" w:color="auto" w:sz="4" w:space="0"/>
              <w:right w:val="single" w:color="auto" w:sz="4" w:space="0"/>
            </w:tcBorders>
            <w:vAlign w:val="center"/>
          </w:tcPr>
          <w:p w14:paraId="09E94BF3">
            <w:pPr>
              <w:spacing w:line="440" w:lineRule="exact"/>
              <w:jc w:val="center"/>
              <w:rPr>
                <w:rFonts w:ascii="Times New Roman" w:hAnsi="Times New Roman" w:eastAsia="仿宋" w:cs="仿宋"/>
                <w:snapToGrid w:val="0"/>
                <w:sz w:val="24"/>
              </w:rPr>
            </w:pPr>
            <w:r>
              <w:rPr>
                <w:rFonts w:hint="eastAsia" w:ascii="Times New Roman" w:hAnsi="Times New Roman" w:eastAsia="仿宋" w:cs="仿宋"/>
                <w:snapToGrid w:val="0"/>
                <w:sz w:val="24"/>
              </w:rPr>
              <w:t>20</w:t>
            </w:r>
          </w:p>
        </w:tc>
        <w:tc>
          <w:tcPr>
            <w:tcW w:w="2744" w:type="pct"/>
            <w:tcBorders>
              <w:top w:val="single" w:color="auto" w:sz="4" w:space="0"/>
              <w:left w:val="single" w:color="auto" w:sz="4" w:space="0"/>
              <w:bottom w:val="single" w:color="auto" w:sz="4" w:space="0"/>
              <w:right w:val="single" w:color="auto" w:sz="4" w:space="0"/>
            </w:tcBorders>
            <w:vAlign w:val="center"/>
          </w:tcPr>
          <w:p w14:paraId="23041504">
            <w:pPr>
              <w:spacing w:line="440" w:lineRule="exact"/>
              <w:jc w:val="left"/>
              <w:rPr>
                <w:rFonts w:ascii="Times New Roman" w:hAnsi="Times New Roman" w:eastAsia="仿宋"/>
                <w:sz w:val="24"/>
              </w:rPr>
            </w:pPr>
            <w:r>
              <w:rPr>
                <w:rFonts w:hint="eastAsia" w:ascii="Times New Roman" w:hAnsi="Times New Roman" w:eastAsia="仿宋"/>
                <w:sz w:val="24"/>
              </w:rPr>
              <w:t>满足比选文件要求且响应价格最低的响应报价为基准价，其价格分为满分。</w:t>
            </w:r>
          </w:p>
          <w:p w14:paraId="174C335A">
            <w:pPr>
              <w:spacing w:line="440" w:lineRule="exact"/>
              <w:jc w:val="left"/>
              <w:rPr>
                <w:rFonts w:ascii="Times New Roman" w:hAnsi="Times New Roman" w:eastAsia="仿宋" w:cs="仿宋"/>
                <w:sz w:val="24"/>
              </w:rPr>
            </w:pPr>
            <w:r>
              <w:rPr>
                <w:rFonts w:hint="eastAsia" w:ascii="Times New Roman" w:hAnsi="Times New Roman" w:eastAsia="仿宋"/>
                <w:sz w:val="24"/>
              </w:rPr>
              <w:t>其他服务商的价格分统一按照下列公式计算：报价得分=(基准价</w:t>
            </w:r>
            <w:r>
              <w:rPr>
                <w:rFonts w:hint="eastAsia" w:ascii="Times New Roman" w:hAnsi="Times New Roman" w:eastAsia="仿宋" w:cs="仿宋"/>
                <w:sz w:val="24"/>
              </w:rPr>
              <w:t>÷</w:t>
            </w:r>
            <w:r>
              <w:rPr>
                <w:rFonts w:hint="eastAsia" w:ascii="Times New Roman" w:hAnsi="Times New Roman" w:eastAsia="仿宋"/>
                <w:sz w:val="24"/>
              </w:rPr>
              <w:t>报价)</w:t>
            </w:r>
            <w:r>
              <w:rPr>
                <w:rFonts w:hint="eastAsia" w:ascii="Times New Roman" w:hAnsi="Times New Roman" w:eastAsia="仿宋" w:cs="仿宋"/>
                <w:sz w:val="24"/>
              </w:rPr>
              <w:t>×20</w:t>
            </w:r>
          </w:p>
        </w:tc>
        <w:tc>
          <w:tcPr>
            <w:tcW w:w="535" w:type="pct"/>
            <w:tcBorders>
              <w:top w:val="single" w:color="auto" w:sz="4" w:space="0"/>
              <w:left w:val="single" w:color="auto" w:sz="4" w:space="0"/>
              <w:bottom w:val="single" w:color="auto" w:sz="4" w:space="0"/>
              <w:right w:val="single" w:color="auto" w:sz="4" w:space="0"/>
            </w:tcBorders>
            <w:vAlign w:val="center"/>
          </w:tcPr>
          <w:p w14:paraId="3A10B3FB">
            <w:pPr>
              <w:spacing w:line="440" w:lineRule="exact"/>
              <w:rPr>
                <w:rFonts w:ascii="Times New Roman" w:hAnsi="Times New Roman" w:eastAsia="仿宋"/>
                <w:iCs/>
                <w:sz w:val="24"/>
              </w:rPr>
            </w:pPr>
          </w:p>
        </w:tc>
      </w:tr>
      <w:tr w14:paraId="4D7E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465" w:type="pct"/>
            <w:tcBorders>
              <w:top w:val="single" w:color="auto" w:sz="4" w:space="0"/>
              <w:left w:val="single" w:color="auto" w:sz="4" w:space="0"/>
              <w:bottom w:val="single" w:color="auto" w:sz="4" w:space="0"/>
              <w:right w:val="single" w:color="auto" w:sz="4" w:space="0"/>
            </w:tcBorders>
            <w:vAlign w:val="center"/>
          </w:tcPr>
          <w:p w14:paraId="48566492">
            <w:pPr>
              <w:spacing w:line="440" w:lineRule="exact"/>
              <w:jc w:val="center"/>
              <w:rPr>
                <w:rFonts w:ascii="Times New Roman" w:hAnsi="Times New Roman" w:eastAsia="仿宋" w:cs="仿宋"/>
                <w:sz w:val="24"/>
              </w:rPr>
            </w:pPr>
            <w:r>
              <w:rPr>
                <w:rFonts w:hint="eastAsia" w:ascii="Times New Roman" w:hAnsi="Times New Roman" w:eastAsia="仿宋" w:cs="仿宋"/>
                <w:sz w:val="24"/>
              </w:rPr>
              <w:t>2</w:t>
            </w:r>
          </w:p>
        </w:tc>
        <w:tc>
          <w:tcPr>
            <w:tcW w:w="810" w:type="pct"/>
            <w:tcBorders>
              <w:top w:val="single" w:color="auto" w:sz="4" w:space="0"/>
              <w:left w:val="single" w:color="auto" w:sz="4" w:space="0"/>
              <w:bottom w:val="single" w:color="auto" w:sz="4" w:space="0"/>
              <w:right w:val="single" w:color="auto" w:sz="4" w:space="0"/>
            </w:tcBorders>
            <w:vAlign w:val="center"/>
          </w:tcPr>
          <w:p w14:paraId="13900846">
            <w:pPr>
              <w:spacing w:line="440" w:lineRule="exact"/>
              <w:jc w:val="center"/>
              <w:rPr>
                <w:rFonts w:ascii="Times New Roman" w:hAnsi="Times New Roman" w:eastAsia="仿宋" w:cs="仿宋"/>
                <w:sz w:val="24"/>
              </w:rPr>
            </w:pPr>
            <w:r>
              <w:rPr>
                <w:rFonts w:hint="eastAsia" w:ascii="Times New Roman" w:hAnsi="Times New Roman" w:eastAsia="仿宋" w:cs="仿宋"/>
                <w:sz w:val="24"/>
              </w:rPr>
              <w:t>类似业绩</w:t>
            </w:r>
          </w:p>
        </w:tc>
        <w:tc>
          <w:tcPr>
            <w:tcW w:w="444" w:type="pct"/>
            <w:tcBorders>
              <w:top w:val="single" w:color="auto" w:sz="4" w:space="0"/>
              <w:left w:val="single" w:color="auto" w:sz="4" w:space="0"/>
              <w:bottom w:val="single" w:color="auto" w:sz="4" w:space="0"/>
              <w:right w:val="single" w:color="auto" w:sz="4" w:space="0"/>
            </w:tcBorders>
            <w:vAlign w:val="center"/>
          </w:tcPr>
          <w:p w14:paraId="620DE089">
            <w:pPr>
              <w:spacing w:line="440" w:lineRule="exact"/>
              <w:jc w:val="center"/>
              <w:rPr>
                <w:rFonts w:ascii="Times New Roman" w:hAnsi="Times New Roman" w:eastAsia="仿宋" w:cs="仿宋"/>
                <w:sz w:val="24"/>
              </w:rPr>
            </w:pPr>
            <w:r>
              <w:rPr>
                <w:rFonts w:hint="eastAsia" w:ascii="Times New Roman" w:hAnsi="Times New Roman" w:eastAsia="仿宋" w:cs="仿宋"/>
                <w:sz w:val="24"/>
              </w:rPr>
              <w:t>10</w:t>
            </w:r>
          </w:p>
        </w:tc>
        <w:tc>
          <w:tcPr>
            <w:tcW w:w="2744" w:type="pct"/>
            <w:tcBorders>
              <w:top w:val="single" w:color="auto" w:sz="4" w:space="0"/>
              <w:left w:val="single" w:color="auto" w:sz="4" w:space="0"/>
              <w:bottom w:val="single" w:color="auto" w:sz="4" w:space="0"/>
              <w:right w:val="single" w:color="auto" w:sz="4" w:space="0"/>
            </w:tcBorders>
            <w:vAlign w:val="center"/>
          </w:tcPr>
          <w:p w14:paraId="2D314367">
            <w:pPr>
              <w:spacing w:line="440" w:lineRule="exact"/>
              <w:jc w:val="left"/>
              <w:rPr>
                <w:rFonts w:ascii="Times New Roman" w:hAnsi="Times New Roman" w:eastAsia="仿宋" w:cs="仿宋"/>
                <w:sz w:val="24"/>
              </w:rPr>
            </w:pPr>
            <w:r>
              <w:rPr>
                <w:rFonts w:hint="eastAsia" w:ascii="Times New Roman" w:hAnsi="Times New Roman" w:eastAsia="仿宋" w:cs="仿宋"/>
                <w:sz w:val="24"/>
              </w:rPr>
              <w:t xml:space="preserve">2023年7月1日至递交响应文件截止时间，服务商每具有一个本项目类似服务业绩的得5分，最多得10分。 </w:t>
            </w:r>
          </w:p>
          <w:p w14:paraId="388DC4C3">
            <w:pPr>
              <w:spacing w:line="440" w:lineRule="exact"/>
              <w:jc w:val="left"/>
              <w:rPr>
                <w:rFonts w:ascii="Times New Roman" w:hAnsi="Times New Roman" w:eastAsia="仿宋" w:cs="仿宋"/>
                <w:sz w:val="24"/>
              </w:rPr>
            </w:pPr>
            <w:r>
              <w:rPr>
                <w:rFonts w:hint="eastAsia" w:ascii="Times New Roman" w:hAnsi="Times New Roman" w:eastAsia="仿宋" w:cs="仿宋"/>
                <w:sz w:val="24"/>
              </w:rPr>
              <w:t>注：需提供协议（或合同）复印件或中标/成交通知书复印件，时间以协议（或合同）的签订时间或中标/成交通知书签发时间为准。 协议（或合同）至少需提供能证明为类似业绩的关键页（包含项目信息）和时间页。</w:t>
            </w:r>
          </w:p>
        </w:tc>
        <w:tc>
          <w:tcPr>
            <w:tcW w:w="535" w:type="pct"/>
            <w:tcBorders>
              <w:top w:val="single" w:color="auto" w:sz="4" w:space="0"/>
              <w:left w:val="single" w:color="auto" w:sz="4" w:space="0"/>
              <w:bottom w:val="single" w:color="auto" w:sz="4" w:space="0"/>
              <w:right w:val="single" w:color="auto" w:sz="4" w:space="0"/>
            </w:tcBorders>
            <w:vAlign w:val="center"/>
          </w:tcPr>
          <w:p w14:paraId="01883287">
            <w:pPr>
              <w:spacing w:line="440" w:lineRule="exact"/>
              <w:rPr>
                <w:rFonts w:ascii="Times New Roman" w:hAnsi="Times New Roman" w:eastAsia="仿宋"/>
                <w:iCs/>
                <w:sz w:val="24"/>
              </w:rPr>
            </w:pPr>
            <w:r>
              <w:rPr>
                <w:rFonts w:hint="eastAsia" w:ascii="Times New Roman" w:hAnsi="Times New Roman" w:eastAsia="仿宋"/>
                <w:sz w:val="24"/>
              </w:rPr>
              <w:t>以响应文件相关内容为准</w:t>
            </w:r>
          </w:p>
        </w:tc>
      </w:tr>
      <w:tr w14:paraId="5BE0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465" w:type="pct"/>
            <w:tcBorders>
              <w:top w:val="single" w:color="auto" w:sz="4" w:space="0"/>
              <w:left w:val="single" w:color="auto" w:sz="4" w:space="0"/>
              <w:bottom w:val="single" w:color="auto" w:sz="4" w:space="0"/>
              <w:right w:val="single" w:color="auto" w:sz="4" w:space="0"/>
            </w:tcBorders>
            <w:vAlign w:val="center"/>
          </w:tcPr>
          <w:p w14:paraId="67910A42">
            <w:pPr>
              <w:spacing w:line="440" w:lineRule="exact"/>
              <w:jc w:val="center"/>
              <w:rPr>
                <w:rFonts w:ascii="Times New Roman" w:hAnsi="Times New Roman" w:eastAsia="仿宋" w:cs="仿宋"/>
                <w:sz w:val="24"/>
              </w:rPr>
            </w:pPr>
            <w:r>
              <w:rPr>
                <w:rFonts w:hint="eastAsia" w:ascii="Times New Roman" w:hAnsi="Times New Roman" w:eastAsia="仿宋" w:cs="仿宋"/>
                <w:sz w:val="24"/>
              </w:rPr>
              <w:t>3</w:t>
            </w:r>
          </w:p>
        </w:tc>
        <w:tc>
          <w:tcPr>
            <w:tcW w:w="810" w:type="pct"/>
            <w:tcBorders>
              <w:top w:val="single" w:color="auto" w:sz="4" w:space="0"/>
              <w:left w:val="single" w:color="auto" w:sz="4" w:space="0"/>
              <w:bottom w:val="single" w:color="auto" w:sz="4" w:space="0"/>
              <w:right w:val="single" w:color="auto" w:sz="4" w:space="0"/>
            </w:tcBorders>
            <w:vAlign w:val="center"/>
          </w:tcPr>
          <w:p w14:paraId="5D0C68D7">
            <w:pPr>
              <w:spacing w:line="440" w:lineRule="exact"/>
              <w:jc w:val="center"/>
              <w:rPr>
                <w:rFonts w:ascii="Times New Roman" w:hAnsi="Times New Roman" w:eastAsia="仿宋" w:cs="仿宋"/>
                <w:sz w:val="24"/>
              </w:rPr>
            </w:pPr>
            <w:r>
              <w:rPr>
                <w:rFonts w:hint="eastAsia" w:ascii="Times New Roman" w:hAnsi="Times New Roman" w:eastAsia="仿宋" w:cs="仿宋"/>
                <w:sz w:val="24"/>
              </w:rPr>
              <w:t>服务团队</w:t>
            </w:r>
          </w:p>
        </w:tc>
        <w:tc>
          <w:tcPr>
            <w:tcW w:w="444" w:type="pct"/>
            <w:tcBorders>
              <w:top w:val="single" w:color="auto" w:sz="4" w:space="0"/>
              <w:left w:val="single" w:color="auto" w:sz="4" w:space="0"/>
              <w:bottom w:val="single" w:color="auto" w:sz="4" w:space="0"/>
              <w:right w:val="single" w:color="auto" w:sz="4" w:space="0"/>
            </w:tcBorders>
            <w:vAlign w:val="center"/>
          </w:tcPr>
          <w:p w14:paraId="681BAE4F">
            <w:pPr>
              <w:spacing w:line="440" w:lineRule="exact"/>
              <w:jc w:val="center"/>
              <w:rPr>
                <w:rFonts w:ascii="Times New Roman" w:hAnsi="Times New Roman" w:eastAsia="仿宋" w:cs="仿宋"/>
                <w:sz w:val="24"/>
              </w:rPr>
            </w:pPr>
            <w:r>
              <w:rPr>
                <w:rFonts w:hint="eastAsia" w:ascii="Times New Roman" w:hAnsi="Times New Roman" w:eastAsia="仿宋" w:cs="仿宋"/>
                <w:sz w:val="24"/>
              </w:rPr>
              <w:t>15</w:t>
            </w:r>
          </w:p>
        </w:tc>
        <w:tc>
          <w:tcPr>
            <w:tcW w:w="2744" w:type="pct"/>
            <w:tcBorders>
              <w:top w:val="single" w:color="auto" w:sz="4" w:space="0"/>
              <w:left w:val="single" w:color="auto" w:sz="4" w:space="0"/>
              <w:bottom w:val="single" w:color="auto" w:sz="4" w:space="0"/>
              <w:right w:val="single" w:color="auto" w:sz="4" w:space="0"/>
            </w:tcBorders>
            <w:vAlign w:val="center"/>
          </w:tcPr>
          <w:p w14:paraId="11FF553C">
            <w:pPr>
              <w:numPr>
                <w:ilvl w:val="255"/>
                <w:numId w:val="0"/>
              </w:numPr>
              <w:spacing w:line="440" w:lineRule="exact"/>
              <w:jc w:val="left"/>
              <w:rPr>
                <w:rFonts w:ascii="Times New Roman" w:hAnsi="Times New Roman" w:eastAsia="仿宋" w:cs="仿宋"/>
                <w:sz w:val="24"/>
              </w:rPr>
            </w:pPr>
            <w:r>
              <w:rPr>
                <w:rFonts w:hint="eastAsia" w:ascii="Times New Roman" w:hAnsi="Times New Roman" w:eastAsia="仿宋" w:cs="仿宋"/>
                <w:sz w:val="24"/>
              </w:rPr>
              <w:t>服务商针对本项目拟派的工作人员中：</w:t>
            </w:r>
          </w:p>
          <w:p w14:paraId="63F118D5">
            <w:pPr>
              <w:numPr>
                <w:ilvl w:val="255"/>
                <w:numId w:val="0"/>
              </w:numPr>
              <w:spacing w:line="440" w:lineRule="exact"/>
              <w:jc w:val="left"/>
              <w:rPr>
                <w:rFonts w:ascii="Times New Roman" w:hAnsi="Times New Roman" w:eastAsia="仿宋" w:cs="仿宋"/>
                <w:sz w:val="24"/>
              </w:rPr>
            </w:pPr>
            <w:r>
              <w:rPr>
                <w:rFonts w:ascii="Times New Roman" w:hAnsi="Times New Roman" w:eastAsia="仿宋" w:cs="仿宋"/>
                <w:sz w:val="24"/>
              </w:rPr>
              <w:t>1、项目负责人（1人）：具有设计相关专业中级及以上职称的，或具有平面设计师或广告设计员中级（四级）及以上职业技能等级证书的，或具有5年以上（含5年）管理经验的</w:t>
            </w:r>
            <w:r>
              <w:rPr>
                <w:rFonts w:hint="eastAsia" w:ascii="Times New Roman" w:hAnsi="Times New Roman" w:eastAsia="仿宋" w:cs="仿宋"/>
                <w:sz w:val="24"/>
              </w:rPr>
              <w:t>，得</w:t>
            </w:r>
            <w:r>
              <w:rPr>
                <w:rFonts w:ascii="Times New Roman" w:hAnsi="Times New Roman" w:eastAsia="仿宋" w:cs="仿宋"/>
                <w:sz w:val="24"/>
              </w:rPr>
              <w:t>5分。</w:t>
            </w:r>
          </w:p>
          <w:p w14:paraId="4EEC6F2E">
            <w:pPr>
              <w:numPr>
                <w:ilvl w:val="255"/>
                <w:numId w:val="0"/>
              </w:numPr>
              <w:spacing w:line="440" w:lineRule="exact"/>
              <w:jc w:val="left"/>
              <w:rPr>
                <w:rFonts w:ascii="Times New Roman" w:hAnsi="Times New Roman" w:eastAsia="仿宋" w:cs="仿宋"/>
                <w:sz w:val="24"/>
              </w:rPr>
            </w:pPr>
            <w:r>
              <w:rPr>
                <w:rFonts w:hint="eastAsia" w:ascii="Times New Roman" w:hAnsi="Times New Roman" w:eastAsia="仿宋" w:cs="仿宋"/>
                <w:sz w:val="24"/>
              </w:rPr>
              <w:t>2、设计人员具有设计相关专业中级及以上职称的，或具有平面设计师或广告设计员中级（四级）及以上职业技能等级证书的，或具有3年以上（含以上）广告宣传设计制作服务相关从业经验的，得5分。</w:t>
            </w:r>
          </w:p>
          <w:p w14:paraId="04AC579B">
            <w:pPr>
              <w:numPr>
                <w:ilvl w:val="255"/>
                <w:numId w:val="0"/>
              </w:numPr>
              <w:spacing w:line="440" w:lineRule="exact"/>
              <w:jc w:val="left"/>
              <w:rPr>
                <w:rFonts w:ascii="Times New Roman" w:hAnsi="Times New Roman" w:eastAsia="仿宋" w:cs="仿宋"/>
                <w:sz w:val="24"/>
              </w:rPr>
            </w:pPr>
            <w:r>
              <w:rPr>
                <w:rFonts w:ascii="Times New Roman" w:hAnsi="Times New Roman" w:eastAsia="仿宋" w:cs="仿宋"/>
                <w:sz w:val="24"/>
              </w:rPr>
              <w:t>3、</w:t>
            </w:r>
            <w:r>
              <w:rPr>
                <w:rFonts w:hint="eastAsia" w:ascii="Times New Roman" w:hAnsi="Times New Roman" w:eastAsia="仿宋" w:cs="仿宋"/>
                <w:sz w:val="24"/>
              </w:rPr>
              <w:t>安装人员具有</w:t>
            </w:r>
            <w:r>
              <w:rPr>
                <w:rFonts w:ascii="Times New Roman" w:hAnsi="Times New Roman" w:eastAsia="仿宋" w:cs="仿宋"/>
                <w:sz w:val="24"/>
              </w:rPr>
              <w:t>3年以上(含以上)广告宣传制作安装服务相关从业经验的，每有1名得</w:t>
            </w:r>
            <w:r>
              <w:rPr>
                <w:rFonts w:hint="eastAsia" w:ascii="Times New Roman" w:hAnsi="Times New Roman" w:eastAsia="仿宋" w:cs="仿宋"/>
                <w:sz w:val="24"/>
              </w:rPr>
              <w:t>2</w:t>
            </w:r>
            <w:r>
              <w:rPr>
                <w:rFonts w:ascii="Times New Roman" w:hAnsi="Times New Roman" w:eastAsia="仿宋" w:cs="仿宋"/>
                <w:sz w:val="24"/>
              </w:rPr>
              <w:t>.5分，最多得</w:t>
            </w:r>
            <w:r>
              <w:rPr>
                <w:rFonts w:hint="eastAsia" w:ascii="Times New Roman" w:hAnsi="Times New Roman" w:eastAsia="仿宋" w:cs="仿宋"/>
                <w:sz w:val="24"/>
              </w:rPr>
              <w:t>5分。</w:t>
            </w:r>
          </w:p>
          <w:p w14:paraId="23446C65">
            <w:pPr>
              <w:numPr>
                <w:ilvl w:val="255"/>
                <w:numId w:val="0"/>
              </w:numPr>
              <w:spacing w:line="440" w:lineRule="exact"/>
              <w:jc w:val="left"/>
              <w:rPr>
                <w:rFonts w:ascii="Times New Roman" w:hAnsi="Times New Roman" w:eastAsia="仿宋" w:cs="仿宋"/>
                <w:sz w:val="24"/>
              </w:rPr>
            </w:pPr>
            <w:r>
              <w:rPr>
                <w:rFonts w:hint="eastAsia" w:ascii="Times New Roman" w:hAnsi="Times New Roman" w:eastAsia="仿宋" w:cs="仿宋"/>
                <w:sz w:val="24"/>
              </w:rPr>
              <w:t>说明：</w:t>
            </w:r>
          </w:p>
          <w:p w14:paraId="2AE3196D">
            <w:pPr>
              <w:numPr>
                <w:ilvl w:val="255"/>
                <w:numId w:val="0"/>
              </w:numPr>
              <w:spacing w:line="440" w:lineRule="exact"/>
              <w:jc w:val="left"/>
              <w:rPr>
                <w:rFonts w:ascii="Times New Roman" w:hAnsi="Times New Roman" w:eastAsia="仿宋" w:cs="仿宋"/>
                <w:sz w:val="24"/>
              </w:rPr>
            </w:pPr>
            <w:r>
              <w:rPr>
                <w:rFonts w:hint="eastAsia" w:ascii="Times New Roman" w:hAnsi="Times New Roman" w:eastAsia="仿宋" w:cs="仿宋"/>
                <w:sz w:val="24"/>
              </w:rPr>
              <w:t>（1）上述设计相关专业是指：与平面设计、广告设计、数字媒体设计、环境设计等宣传品制作相关的专业类别。</w:t>
            </w:r>
          </w:p>
          <w:p w14:paraId="77ABAC74">
            <w:pPr>
              <w:numPr>
                <w:ilvl w:val="255"/>
                <w:numId w:val="0"/>
              </w:numPr>
              <w:spacing w:line="440" w:lineRule="exact"/>
              <w:jc w:val="left"/>
              <w:rPr>
                <w:rFonts w:ascii="Times New Roman" w:hAnsi="Times New Roman" w:eastAsia="仿宋" w:cs="仿宋"/>
                <w:sz w:val="24"/>
              </w:rPr>
            </w:pPr>
            <w:r>
              <w:rPr>
                <w:rFonts w:hint="eastAsia" w:ascii="Times New Roman" w:hAnsi="Times New Roman" w:eastAsia="仿宋" w:cs="仿宋"/>
                <w:sz w:val="24"/>
              </w:rPr>
              <w:t>（2）项目负责人和设计人员需提供由人社部门或行业主管部门颁发的有效的中级及以上专业技术职称证书，或由人社部门备案评价机构颁发的有效的职业技能等级证书进行佐证，未提供不予认可。</w:t>
            </w:r>
          </w:p>
          <w:p w14:paraId="177180DB">
            <w:pPr>
              <w:numPr>
                <w:ilvl w:val="255"/>
                <w:numId w:val="0"/>
              </w:numPr>
              <w:spacing w:line="440" w:lineRule="exact"/>
              <w:jc w:val="left"/>
              <w:rPr>
                <w:rFonts w:ascii="Times New Roman" w:hAnsi="Times New Roman" w:eastAsia="仿宋" w:cs="仿宋"/>
                <w:sz w:val="24"/>
              </w:rPr>
            </w:pPr>
            <w:r>
              <w:rPr>
                <w:rFonts w:hint="eastAsia" w:ascii="Times New Roman" w:hAnsi="Times New Roman" w:eastAsia="仿宋" w:cs="仿宋"/>
                <w:sz w:val="24"/>
              </w:rPr>
              <w:t>（3）针对上述人员的管理经验或从业经验，服务商需提供人员与本单位的劳动合同或社保证明复印件、从业业绩资料等能够明确体现从业起止时间、从业内容的相关证明资料进行佐证，项目负责人的证明材料还需要体现管理经验，未提供或提供的证明资料不能佐证的，不予认可。</w:t>
            </w:r>
          </w:p>
        </w:tc>
        <w:tc>
          <w:tcPr>
            <w:tcW w:w="535" w:type="pct"/>
            <w:tcBorders>
              <w:top w:val="single" w:color="auto" w:sz="4" w:space="0"/>
              <w:left w:val="single" w:color="auto" w:sz="4" w:space="0"/>
              <w:bottom w:val="single" w:color="auto" w:sz="4" w:space="0"/>
              <w:right w:val="single" w:color="auto" w:sz="4" w:space="0"/>
            </w:tcBorders>
            <w:vAlign w:val="center"/>
          </w:tcPr>
          <w:p w14:paraId="1A46A6A7">
            <w:pPr>
              <w:spacing w:line="440" w:lineRule="exact"/>
              <w:rPr>
                <w:rFonts w:ascii="Times New Roman" w:hAnsi="Times New Roman" w:eastAsia="仿宋"/>
                <w:iCs/>
                <w:sz w:val="24"/>
              </w:rPr>
            </w:pPr>
            <w:r>
              <w:rPr>
                <w:rFonts w:hint="eastAsia" w:ascii="Times New Roman" w:hAnsi="Times New Roman" w:eastAsia="仿宋"/>
                <w:sz w:val="24"/>
              </w:rPr>
              <w:t>以响应文件相关内容为准</w:t>
            </w:r>
          </w:p>
        </w:tc>
      </w:tr>
      <w:tr w14:paraId="2973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465" w:type="pct"/>
            <w:tcBorders>
              <w:top w:val="single" w:color="auto" w:sz="4" w:space="0"/>
              <w:left w:val="single" w:color="auto" w:sz="4" w:space="0"/>
              <w:bottom w:val="single" w:color="auto" w:sz="4" w:space="0"/>
              <w:right w:val="single" w:color="auto" w:sz="4" w:space="0"/>
            </w:tcBorders>
            <w:vAlign w:val="center"/>
          </w:tcPr>
          <w:p w14:paraId="0763DAD2">
            <w:pPr>
              <w:spacing w:line="440" w:lineRule="exact"/>
              <w:jc w:val="center"/>
              <w:rPr>
                <w:rFonts w:ascii="Times New Roman" w:hAnsi="Times New Roman" w:eastAsia="仿宋" w:cs="仿宋"/>
                <w:sz w:val="24"/>
              </w:rPr>
            </w:pPr>
            <w:r>
              <w:rPr>
                <w:rFonts w:hint="eastAsia" w:ascii="Times New Roman" w:hAnsi="Times New Roman" w:eastAsia="仿宋" w:cs="仿宋"/>
                <w:sz w:val="24"/>
              </w:rPr>
              <w:t>4</w:t>
            </w:r>
          </w:p>
        </w:tc>
        <w:tc>
          <w:tcPr>
            <w:tcW w:w="810" w:type="pct"/>
            <w:tcBorders>
              <w:top w:val="single" w:color="auto" w:sz="4" w:space="0"/>
              <w:left w:val="single" w:color="auto" w:sz="4" w:space="0"/>
              <w:bottom w:val="single" w:color="auto" w:sz="4" w:space="0"/>
              <w:right w:val="single" w:color="auto" w:sz="4" w:space="0"/>
            </w:tcBorders>
            <w:vAlign w:val="center"/>
          </w:tcPr>
          <w:p w14:paraId="428CFC06">
            <w:pPr>
              <w:spacing w:line="440" w:lineRule="exact"/>
              <w:jc w:val="center"/>
              <w:rPr>
                <w:rFonts w:ascii="Times New Roman" w:hAnsi="Times New Roman" w:eastAsia="仿宋" w:cs="仿宋"/>
                <w:sz w:val="24"/>
              </w:rPr>
            </w:pPr>
            <w:r>
              <w:rPr>
                <w:rFonts w:hint="eastAsia" w:ascii="Times New Roman" w:hAnsi="Times New Roman" w:eastAsia="仿宋" w:cs="仿宋"/>
                <w:sz w:val="24"/>
              </w:rPr>
              <w:t>深化设计方案</w:t>
            </w:r>
          </w:p>
        </w:tc>
        <w:tc>
          <w:tcPr>
            <w:tcW w:w="444" w:type="pct"/>
            <w:tcBorders>
              <w:top w:val="single" w:color="auto" w:sz="4" w:space="0"/>
              <w:left w:val="single" w:color="auto" w:sz="4" w:space="0"/>
              <w:bottom w:val="single" w:color="auto" w:sz="4" w:space="0"/>
              <w:right w:val="single" w:color="auto" w:sz="4" w:space="0"/>
            </w:tcBorders>
            <w:vAlign w:val="center"/>
          </w:tcPr>
          <w:p w14:paraId="36C97A33">
            <w:pPr>
              <w:spacing w:line="440" w:lineRule="exact"/>
              <w:jc w:val="center"/>
              <w:rPr>
                <w:rFonts w:ascii="Times New Roman" w:hAnsi="Times New Roman" w:eastAsia="仿宋" w:cs="仿宋"/>
                <w:sz w:val="24"/>
              </w:rPr>
            </w:pPr>
            <w:r>
              <w:rPr>
                <w:rFonts w:hint="eastAsia" w:ascii="Times New Roman" w:hAnsi="Times New Roman" w:eastAsia="仿宋" w:cs="仿宋"/>
                <w:sz w:val="24"/>
              </w:rPr>
              <w:t>26</w:t>
            </w:r>
          </w:p>
        </w:tc>
        <w:tc>
          <w:tcPr>
            <w:tcW w:w="2744" w:type="pct"/>
            <w:tcBorders>
              <w:top w:val="single" w:color="auto" w:sz="4" w:space="0"/>
              <w:left w:val="single" w:color="auto" w:sz="4" w:space="0"/>
              <w:bottom w:val="single" w:color="auto" w:sz="4" w:space="0"/>
              <w:right w:val="single" w:color="auto" w:sz="4" w:space="0"/>
            </w:tcBorders>
            <w:vAlign w:val="center"/>
          </w:tcPr>
          <w:p w14:paraId="2D4413FD">
            <w:pPr>
              <w:numPr>
                <w:ilvl w:val="255"/>
                <w:numId w:val="0"/>
              </w:numPr>
              <w:spacing w:line="440" w:lineRule="exact"/>
              <w:jc w:val="left"/>
              <w:rPr>
                <w:rFonts w:ascii="Times New Roman" w:hAnsi="Times New Roman" w:eastAsia="仿宋" w:cs="仿宋"/>
                <w:sz w:val="24"/>
              </w:rPr>
            </w:pPr>
            <w:r>
              <w:rPr>
                <w:rFonts w:hint="eastAsia" w:ascii="Times New Roman" w:hAnsi="Times New Roman" w:eastAsia="仿宋" w:cs="仿宋"/>
                <w:sz w:val="24"/>
              </w:rPr>
              <w:t>服务商针对本项目提供深化设计方案，内容包括：①总体设计思路；②选材及色彩搭配方案；③效果表现：以“改造清单”序号1、2、3、4、23、24、25、26、27为例各1套；以上①、②内容齐全的得8分，每有一项内容缺项的扣4分，每有一项内容存在缺陷的扣2分，每项最多扣4分，总分扣完为止；以上③内容齐全得18分，每有一项内容缺项的扣2分，每有一项内容存在缺陷的扣1分，每项最多扣2分，总分扣完为止。</w:t>
            </w:r>
          </w:p>
          <w:p w14:paraId="36D9DB43">
            <w:pPr>
              <w:numPr>
                <w:ilvl w:val="255"/>
                <w:numId w:val="0"/>
              </w:numPr>
              <w:spacing w:line="440" w:lineRule="exact"/>
              <w:jc w:val="left"/>
              <w:rPr>
                <w:rFonts w:ascii="Times New Roman" w:hAnsi="Times New Roman" w:eastAsia="仿宋" w:cs="仿宋"/>
                <w:sz w:val="24"/>
              </w:rPr>
            </w:pPr>
            <w:r>
              <w:rPr>
                <w:rFonts w:hint="eastAsia" w:ascii="Times New Roman" w:hAnsi="Times New Roman" w:eastAsia="仿宋" w:cs="仿宋"/>
                <w:sz w:val="24"/>
              </w:rPr>
              <w:t>注：缺陷是指：内容仅有标题或框架缺乏具体说明和阐述；内容不符合国家、地方、行业标准、行业惯例以及项目特点；语言、项目名称、实施地点、政策、规范标准错误；方案生搬硬套；套用其他项目内容；与本项目无关的任一情形。</w:t>
            </w:r>
          </w:p>
        </w:tc>
        <w:tc>
          <w:tcPr>
            <w:tcW w:w="535" w:type="pct"/>
            <w:tcBorders>
              <w:top w:val="single" w:color="auto" w:sz="4" w:space="0"/>
              <w:left w:val="single" w:color="auto" w:sz="4" w:space="0"/>
              <w:bottom w:val="single" w:color="auto" w:sz="4" w:space="0"/>
              <w:right w:val="single" w:color="auto" w:sz="4" w:space="0"/>
            </w:tcBorders>
            <w:vAlign w:val="center"/>
          </w:tcPr>
          <w:p w14:paraId="26082361">
            <w:pPr>
              <w:spacing w:line="440" w:lineRule="exact"/>
              <w:rPr>
                <w:rFonts w:ascii="Times New Roman" w:hAnsi="Times New Roman" w:eastAsia="仿宋"/>
                <w:sz w:val="24"/>
              </w:rPr>
            </w:pPr>
          </w:p>
        </w:tc>
      </w:tr>
      <w:tr w14:paraId="05EF5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465" w:type="pct"/>
            <w:tcBorders>
              <w:top w:val="single" w:color="auto" w:sz="4" w:space="0"/>
              <w:left w:val="single" w:color="auto" w:sz="4" w:space="0"/>
              <w:bottom w:val="single" w:color="auto" w:sz="4" w:space="0"/>
              <w:right w:val="single" w:color="auto" w:sz="4" w:space="0"/>
            </w:tcBorders>
            <w:vAlign w:val="center"/>
          </w:tcPr>
          <w:p w14:paraId="3693F2B3">
            <w:pPr>
              <w:spacing w:line="440" w:lineRule="exact"/>
              <w:jc w:val="center"/>
              <w:rPr>
                <w:rFonts w:ascii="Times New Roman" w:hAnsi="Times New Roman" w:eastAsia="仿宋" w:cs="仿宋"/>
                <w:sz w:val="24"/>
              </w:rPr>
            </w:pPr>
            <w:r>
              <w:rPr>
                <w:rFonts w:hint="eastAsia" w:ascii="Times New Roman" w:hAnsi="Times New Roman" w:eastAsia="仿宋" w:cs="仿宋"/>
                <w:sz w:val="24"/>
              </w:rPr>
              <w:t>5</w:t>
            </w:r>
          </w:p>
        </w:tc>
        <w:tc>
          <w:tcPr>
            <w:tcW w:w="810" w:type="pct"/>
            <w:tcBorders>
              <w:top w:val="single" w:color="auto" w:sz="4" w:space="0"/>
              <w:left w:val="single" w:color="auto" w:sz="4" w:space="0"/>
              <w:bottom w:val="single" w:color="auto" w:sz="4" w:space="0"/>
              <w:right w:val="single" w:color="auto" w:sz="4" w:space="0"/>
            </w:tcBorders>
            <w:vAlign w:val="center"/>
          </w:tcPr>
          <w:p w14:paraId="09EAB643">
            <w:pPr>
              <w:spacing w:line="440" w:lineRule="exact"/>
              <w:jc w:val="center"/>
              <w:rPr>
                <w:rFonts w:ascii="Times New Roman" w:hAnsi="Times New Roman" w:eastAsia="仿宋" w:cs="仿宋"/>
                <w:sz w:val="24"/>
              </w:rPr>
            </w:pPr>
            <w:r>
              <w:rPr>
                <w:rFonts w:hint="eastAsia" w:ascii="Times New Roman" w:hAnsi="Times New Roman" w:eastAsia="仿宋" w:cs="仿宋"/>
                <w:sz w:val="24"/>
              </w:rPr>
              <w:t>项目实施方案</w:t>
            </w:r>
          </w:p>
        </w:tc>
        <w:tc>
          <w:tcPr>
            <w:tcW w:w="444" w:type="pct"/>
            <w:tcBorders>
              <w:top w:val="single" w:color="auto" w:sz="4" w:space="0"/>
              <w:left w:val="single" w:color="auto" w:sz="4" w:space="0"/>
              <w:bottom w:val="single" w:color="auto" w:sz="4" w:space="0"/>
              <w:right w:val="single" w:color="auto" w:sz="4" w:space="0"/>
            </w:tcBorders>
            <w:vAlign w:val="center"/>
          </w:tcPr>
          <w:p w14:paraId="4B1EFEF4">
            <w:pPr>
              <w:spacing w:line="440" w:lineRule="exact"/>
              <w:jc w:val="center"/>
              <w:rPr>
                <w:rFonts w:ascii="Times New Roman" w:hAnsi="Times New Roman" w:eastAsia="仿宋" w:cs="仿宋"/>
                <w:sz w:val="24"/>
              </w:rPr>
            </w:pPr>
            <w:r>
              <w:rPr>
                <w:rFonts w:hint="eastAsia" w:ascii="Times New Roman" w:hAnsi="Times New Roman" w:eastAsia="仿宋" w:cs="仿宋"/>
                <w:sz w:val="24"/>
              </w:rPr>
              <w:t>20</w:t>
            </w:r>
          </w:p>
        </w:tc>
        <w:tc>
          <w:tcPr>
            <w:tcW w:w="2744" w:type="pct"/>
            <w:tcBorders>
              <w:top w:val="single" w:color="auto" w:sz="4" w:space="0"/>
              <w:left w:val="single" w:color="auto" w:sz="4" w:space="0"/>
              <w:bottom w:val="single" w:color="auto" w:sz="4" w:space="0"/>
              <w:right w:val="single" w:color="auto" w:sz="4" w:space="0"/>
            </w:tcBorders>
            <w:vAlign w:val="center"/>
          </w:tcPr>
          <w:p w14:paraId="24F3F8A0">
            <w:pPr>
              <w:spacing w:line="440" w:lineRule="exact"/>
              <w:jc w:val="left"/>
              <w:rPr>
                <w:rFonts w:ascii="Times New Roman" w:hAnsi="Times New Roman" w:cs="仿宋"/>
                <w:sz w:val="24"/>
              </w:rPr>
            </w:pPr>
            <w:r>
              <w:rPr>
                <w:rFonts w:hint="eastAsia" w:ascii="Times New Roman" w:hAnsi="Times New Roman" w:eastAsia="仿宋" w:cs="仿宋"/>
                <w:sz w:val="24"/>
              </w:rPr>
              <w:t>服务商针对本项目提供项目实施方案，内容包括：①项目实施目标；②重、难点分析与处理建议；③制作、运输及安装方案；④安全文明作业方案；</w:t>
            </w:r>
            <w:r>
              <w:rPr>
                <w:rFonts w:hint="eastAsia" w:ascii="Times New Roman" w:hAnsi="Times New Roman" w:cs="仿宋_GB2312"/>
                <w:sz w:val="24"/>
              </w:rPr>
              <w:t>⑤</w:t>
            </w:r>
            <w:r>
              <w:rPr>
                <w:rFonts w:hint="eastAsia" w:ascii="Times New Roman" w:hAnsi="Times New Roman" w:eastAsia="仿宋" w:cs="仿宋"/>
                <w:sz w:val="24"/>
              </w:rPr>
              <w:t>项目实施进度计划</w:t>
            </w:r>
            <w:r>
              <w:rPr>
                <w:rFonts w:hint="eastAsia"/>
              </w:rPr>
              <w:t>。</w:t>
            </w:r>
          </w:p>
          <w:p w14:paraId="209E7793">
            <w:pPr>
              <w:spacing w:line="440" w:lineRule="exact"/>
              <w:jc w:val="left"/>
              <w:rPr>
                <w:rFonts w:ascii="Times New Roman" w:hAnsi="Times New Roman" w:eastAsia="仿宋" w:cs="仿宋"/>
                <w:sz w:val="24"/>
              </w:rPr>
            </w:pPr>
            <w:r>
              <w:rPr>
                <w:rFonts w:hint="eastAsia" w:ascii="Times New Roman" w:hAnsi="Times New Roman" w:eastAsia="仿宋" w:cs="仿宋"/>
                <w:sz w:val="24"/>
              </w:rPr>
              <w:t>以上内容齐全的得20分，每有一项内容缺项的扣4分，每有一项内容存在缺陷的扣2分，每项最多扣4分，总分扣完为止。</w:t>
            </w:r>
          </w:p>
          <w:p w14:paraId="67E6728D">
            <w:pPr>
              <w:spacing w:line="440" w:lineRule="exact"/>
              <w:jc w:val="left"/>
              <w:rPr>
                <w:rFonts w:ascii="Times New Roman" w:hAnsi="Times New Roman" w:eastAsia="仿宋" w:cs="仿宋"/>
                <w:sz w:val="24"/>
              </w:rPr>
            </w:pPr>
            <w:r>
              <w:rPr>
                <w:rFonts w:hint="eastAsia" w:ascii="Times New Roman" w:hAnsi="Times New Roman" w:eastAsia="仿宋" w:cs="仿宋"/>
                <w:sz w:val="24"/>
              </w:rPr>
              <w:t>注：缺陷是指：内容仅有标题或框架缺乏具体说明和阐述；内容不符合国家、地方、行业标准、行业惯例以及项目特点；语言、项目名称、实施地点、政策、规范标准错误；方案生搬硬套；套用其他项目内容；与本项目无关的任一情形。</w:t>
            </w:r>
          </w:p>
        </w:tc>
        <w:tc>
          <w:tcPr>
            <w:tcW w:w="535" w:type="pct"/>
            <w:tcBorders>
              <w:top w:val="single" w:color="auto" w:sz="4" w:space="0"/>
              <w:left w:val="single" w:color="auto" w:sz="4" w:space="0"/>
              <w:bottom w:val="single" w:color="auto" w:sz="4" w:space="0"/>
              <w:right w:val="single" w:color="auto" w:sz="4" w:space="0"/>
            </w:tcBorders>
            <w:vAlign w:val="center"/>
          </w:tcPr>
          <w:p w14:paraId="70C497C2">
            <w:pPr>
              <w:spacing w:line="440" w:lineRule="exact"/>
              <w:rPr>
                <w:rFonts w:ascii="Times New Roman" w:hAnsi="Times New Roman" w:eastAsia="仿宋"/>
                <w:iCs/>
                <w:sz w:val="24"/>
              </w:rPr>
            </w:pPr>
            <w:r>
              <w:rPr>
                <w:rFonts w:hint="eastAsia" w:ascii="Times New Roman" w:hAnsi="Times New Roman" w:eastAsia="仿宋"/>
                <w:sz w:val="24"/>
              </w:rPr>
              <w:t>以响应文件相关内容为准</w:t>
            </w:r>
          </w:p>
        </w:tc>
      </w:tr>
      <w:tr w14:paraId="7C97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465" w:type="pct"/>
            <w:tcBorders>
              <w:top w:val="single" w:color="auto" w:sz="4" w:space="0"/>
              <w:left w:val="single" w:color="auto" w:sz="4" w:space="0"/>
              <w:bottom w:val="single" w:color="auto" w:sz="4" w:space="0"/>
              <w:right w:val="single" w:color="auto" w:sz="4" w:space="0"/>
            </w:tcBorders>
            <w:vAlign w:val="center"/>
          </w:tcPr>
          <w:p w14:paraId="4ED9C40D">
            <w:pPr>
              <w:spacing w:line="440" w:lineRule="exact"/>
              <w:jc w:val="center"/>
              <w:rPr>
                <w:rFonts w:ascii="Times New Roman" w:hAnsi="Times New Roman" w:eastAsia="仿宋" w:cs="仿宋"/>
                <w:sz w:val="24"/>
              </w:rPr>
            </w:pPr>
            <w:r>
              <w:rPr>
                <w:rFonts w:hint="eastAsia" w:ascii="Times New Roman" w:hAnsi="Times New Roman" w:eastAsia="仿宋" w:cs="仿宋"/>
                <w:sz w:val="24"/>
              </w:rPr>
              <w:t>6</w:t>
            </w:r>
          </w:p>
        </w:tc>
        <w:tc>
          <w:tcPr>
            <w:tcW w:w="810" w:type="pct"/>
            <w:tcBorders>
              <w:top w:val="single" w:color="auto" w:sz="4" w:space="0"/>
              <w:left w:val="single" w:color="auto" w:sz="4" w:space="0"/>
              <w:bottom w:val="single" w:color="auto" w:sz="4" w:space="0"/>
              <w:right w:val="single" w:color="auto" w:sz="4" w:space="0"/>
            </w:tcBorders>
            <w:vAlign w:val="center"/>
          </w:tcPr>
          <w:p w14:paraId="403A89DA">
            <w:pPr>
              <w:spacing w:line="440" w:lineRule="exact"/>
              <w:jc w:val="center"/>
              <w:rPr>
                <w:rFonts w:ascii="Times New Roman" w:hAnsi="Times New Roman" w:eastAsia="仿宋" w:cs="仿宋"/>
                <w:sz w:val="24"/>
              </w:rPr>
            </w:pPr>
            <w:r>
              <w:rPr>
                <w:rFonts w:hint="eastAsia" w:ascii="Times New Roman" w:hAnsi="Times New Roman" w:eastAsia="仿宋" w:cs="仿宋"/>
                <w:sz w:val="24"/>
              </w:rPr>
              <w:t>售后服务保障方案</w:t>
            </w:r>
          </w:p>
        </w:tc>
        <w:tc>
          <w:tcPr>
            <w:tcW w:w="444" w:type="pct"/>
            <w:tcBorders>
              <w:top w:val="single" w:color="auto" w:sz="4" w:space="0"/>
              <w:left w:val="single" w:color="auto" w:sz="4" w:space="0"/>
              <w:bottom w:val="single" w:color="auto" w:sz="4" w:space="0"/>
              <w:right w:val="single" w:color="auto" w:sz="4" w:space="0"/>
            </w:tcBorders>
            <w:vAlign w:val="center"/>
          </w:tcPr>
          <w:p w14:paraId="184529D3">
            <w:pPr>
              <w:spacing w:line="440" w:lineRule="exact"/>
              <w:jc w:val="center"/>
              <w:rPr>
                <w:rFonts w:ascii="Times New Roman" w:hAnsi="Times New Roman" w:eastAsia="仿宋" w:cs="仿宋"/>
                <w:sz w:val="24"/>
              </w:rPr>
            </w:pPr>
            <w:r>
              <w:rPr>
                <w:rFonts w:hint="eastAsia" w:ascii="Times New Roman" w:hAnsi="Times New Roman" w:eastAsia="仿宋" w:cs="仿宋"/>
                <w:sz w:val="24"/>
              </w:rPr>
              <w:t>9</w:t>
            </w:r>
          </w:p>
        </w:tc>
        <w:tc>
          <w:tcPr>
            <w:tcW w:w="2744" w:type="pct"/>
            <w:tcBorders>
              <w:top w:val="single" w:color="auto" w:sz="4" w:space="0"/>
              <w:left w:val="single" w:color="auto" w:sz="4" w:space="0"/>
              <w:bottom w:val="single" w:color="auto" w:sz="4" w:space="0"/>
              <w:right w:val="single" w:color="auto" w:sz="4" w:space="0"/>
            </w:tcBorders>
            <w:vAlign w:val="center"/>
          </w:tcPr>
          <w:p w14:paraId="42C98E57">
            <w:pPr>
              <w:spacing w:line="440" w:lineRule="exact"/>
              <w:jc w:val="left"/>
              <w:rPr>
                <w:rFonts w:ascii="Times New Roman" w:hAnsi="Times New Roman" w:eastAsia="仿宋" w:cs="仿宋"/>
                <w:sz w:val="24"/>
              </w:rPr>
            </w:pPr>
            <w:r>
              <w:rPr>
                <w:rFonts w:hint="eastAsia" w:ascii="Times New Roman" w:hAnsi="Times New Roman" w:eastAsia="仿宋" w:cs="仿宋"/>
                <w:sz w:val="24"/>
              </w:rPr>
              <w:t>服务商针对本项目提供售后服务保障方案，内容包括：①售后服务保障工作计划及服务流程等；②售后服务保障团队人员组成体系；③售后服务保障质量措施、维护维修及退换货保障措施。</w:t>
            </w:r>
          </w:p>
          <w:p w14:paraId="4942FFC2">
            <w:pPr>
              <w:spacing w:line="440" w:lineRule="exact"/>
              <w:jc w:val="left"/>
              <w:rPr>
                <w:rFonts w:ascii="Times New Roman" w:hAnsi="Times New Roman" w:eastAsia="仿宋" w:cs="仿宋"/>
                <w:sz w:val="24"/>
              </w:rPr>
            </w:pPr>
            <w:r>
              <w:rPr>
                <w:rFonts w:hint="eastAsia" w:ascii="Times New Roman" w:hAnsi="Times New Roman" w:eastAsia="仿宋" w:cs="仿宋"/>
                <w:sz w:val="24"/>
              </w:rPr>
              <w:t>以上内容齐全的得9分，每有一项内容缺项的扣3分，每有一项内容存在缺陷的扣1.5分，每项最多扣3分，总分扣完为止。</w:t>
            </w:r>
          </w:p>
          <w:p w14:paraId="0270878A">
            <w:pPr>
              <w:spacing w:line="440" w:lineRule="exact"/>
              <w:jc w:val="left"/>
              <w:rPr>
                <w:rFonts w:ascii="Times New Roman" w:hAnsi="Times New Roman" w:eastAsia="仿宋" w:cs="仿宋"/>
                <w:sz w:val="24"/>
              </w:rPr>
            </w:pPr>
            <w:r>
              <w:rPr>
                <w:rFonts w:hint="eastAsia" w:ascii="Times New Roman" w:hAnsi="Times New Roman" w:eastAsia="仿宋" w:cs="仿宋"/>
                <w:sz w:val="24"/>
              </w:rPr>
              <w:t>注：缺陷是指：内容仅有标题或框架缺乏具体说明和阐述；内容不符合国家、地方、行业标准、行业惯例以及项目特点；语言、项目名称、实施地点、政策、规范标准错误；方案生搬硬套；套用其他项目内容；与本项目无关的任一情形。</w:t>
            </w:r>
          </w:p>
        </w:tc>
        <w:tc>
          <w:tcPr>
            <w:tcW w:w="535" w:type="pct"/>
            <w:tcBorders>
              <w:top w:val="single" w:color="auto" w:sz="4" w:space="0"/>
              <w:left w:val="single" w:color="auto" w:sz="4" w:space="0"/>
              <w:bottom w:val="single" w:color="auto" w:sz="4" w:space="0"/>
              <w:right w:val="single" w:color="auto" w:sz="4" w:space="0"/>
            </w:tcBorders>
            <w:vAlign w:val="center"/>
          </w:tcPr>
          <w:p w14:paraId="734E0962">
            <w:pPr>
              <w:spacing w:line="440" w:lineRule="exact"/>
              <w:rPr>
                <w:rFonts w:ascii="Times New Roman" w:hAnsi="Times New Roman" w:eastAsia="仿宋"/>
                <w:sz w:val="24"/>
              </w:rPr>
            </w:pPr>
          </w:p>
        </w:tc>
      </w:tr>
    </w:tbl>
    <w:p w14:paraId="6892B37F">
      <w:pPr>
        <w:tabs>
          <w:tab w:val="left" w:pos="884"/>
          <w:tab w:val="left" w:pos="2093"/>
          <w:tab w:val="left" w:pos="2802"/>
          <w:tab w:val="left" w:pos="12085"/>
        </w:tabs>
        <w:ind w:left="250"/>
        <w:rPr>
          <w:rFonts w:ascii="Times New Roman" w:hAnsi="Times New Roman"/>
          <w:sz w:val="20"/>
          <w:szCs w:val="20"/>
        </w:rPr>
      </w:pPr>
    </w:p>
    <w:p w14:paraId="55994074">
      <w:pPr>
        <w:spacing w:line="440" w:lineRule="exact"/>
        <w:jc w:val="left"/>
        <w:rPr>
          <w:rFonts w:hint="eastAsia" w:ascii="Times New Roman" w:hAnsi="Times New Roman" w:eastAsia="仿宋" w:cs="仿宋"/>
          <w:b/>
          <w:bCs/>
          <w:sz w:val="24"/>
          <w:highlight w:val="none"/>
        </w:rPr>
      </w:pPr>
    </w:p>
    <w:p w14:paraId="04D7746A">
      <w:pPr>
        <w:spacing w:line="440" w:lineRule="exact"/>
        <w:jc w:val="left"/>
        <w:rPr>
          <w:rFonts w:hint="eastAsia" w:ascii="Times New Roman" w:hAnsi="Times New Roman" w:eastAsia="仿宋" w:cs="仿宋"/>
          <w:b/>
          <w:bCs/>
          <w:sz w:val="24"/>
          <w:highlight w:val="none"/>
        </w:rPr>
      </w:pPr>
      <w:r>
        <w:rPr>
          <w:rFonts w:hint="eastAsia" w:ascii="Times New Roman" w:hAnsi="Times New Roman" w:eastAsia="仿宋" w:cs="仿宋"/>
          <w:b/>
          <w:bCs/>
          <w:sz w:val="24"/>
          <w:highlight w:val="none"/>
        </w:rPr>
        <w:t>评审过程中出现下列情形之一的，</w:t>
      </w:r>
      <w:r>
        <w:rPr>
          <w:rFonts w:hint="eastAsia" w:ascii="Times New Roman" w:hAnsi="Times New Roman" w:eastAsia="仿宋" w:cs="仿宋"/>
          <w:b/>
          <w:bCs/>
          <w:sz w:val="24"/>
          <w:highlight w:val="none"/>
          <w:lang w:val="en-US" w:eastAsia="zh-CN"/>
        </w:rPr>
        <w:t>评审</w:t>
      </w:r>
      <w:r>
        <w:rPr>
          <w:rFonts w:hint="eastAsia" w:ascii="Times New Roman" w:hAnsi="Times New Roman" w:eastAsia="仿宋" w:cs="仿宋"/>
          <w:b/>
          <w:bCs/>
          <w:sz w:val="24"/>
          <w:highlight w:val="none"/>
        </w:rPr>
        <w:t>小组应当启动异常低价响应审查程序：</w:t>
      </w:r>
    </w:p>
    <w:p w14:paraId="2EC3CA0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Times New Roman" w:hAnsi="Times New Roman" w:eastAsia="仿宋" w:cs="仿宋"/>
          <w:sz w:val="24"/>
          <w:highlight w:val="none"/>
        </w:rPr>
      </w:pPr>
      <w:r>
        <w:rPr>
          <w:rFonts w:hint="eastAsia" w:ascii="Times New Roman" w:hAnsi="Times New Roman" w:eastAsia="仿宋" w:cs="仿宋"/>
          <w:sz w:val="24"/>
          <w:highlight w:val="none"/>
        </w:rPr>
        <w:t xml:space="preserve">1.响应报价低于全部通过符合性审查供应商响应报价平均值 </w:t>
      </w:r>
      <w:r>
        <w:rPr>
          <w:rFonts w:hint="eastAsia" w:ascii="Times New Roman" w:hAnsi="Times New Roman" w:eastAsia="仿宋" w:cs="仿宋"/>
          <w:sz w:val="24"/>
          <w:highlight w:val="none"/>
          <w:lang w:val="en-US" w:eastAsia="zh-CN"/>
        </w:rPr>
        <w:t>50</w:t>
      </w:r>
      <w:r>
        <w:rPr>
          <w:rFonts w:hint="eastAsia" w:ascii="Times New Roman" w:hAnsi="Times New Roman" w:eastAsia="仿宋" w:cs="仿宋"/>
          <w:sz w:val="24"/>
          <w:highlight w:val="none"/>
        </w:rPr>
        <w:t xml:space="preserve"> %的，即响应报价&lt;全部通过符合性审查供应商响应报价平均值×</w:t>
      </w:r>
      <w:r>
        <w:rPr>
          <w:rFonts w:hint="eastAsia" w:ascii="Times New Roman" w:hAnsi="Times New Roman" w:eastAsia="仿宋" w:cs="仿宋"/>
          <w:sz w:val="24"/>
          <w:highlight w:val="none"/>
          <w:lang w:val="en-US" w:eastAsia="zh-CN"/>
        </w:rPr>
        <w:t>50</w:t>
      </w:r>
      <w:r>
        <w:rPr>
          <w:rFonts w:hint="eastAsia" w:ascii="Times New Roman" w:hAnsi="Times New Roman" w:eastAsia="仿宋" w:cs="仿宋"/>
          <w:sz w:val="24"/>
          <w:highlight w:val="none"/>
        </w:rPr>
        <w:t>%；</w:t>
      </w:r>
    </w:p>
    <w:p w14:paraId="2E112118">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Times New Roman" w:hAnsi="Times New Roman" w:eastAsia="仿宋" w:cs="仿宋"/>
          <w:sz w:val="24"/>
          <w:highlight w:val="none"/>
        </w:rPr>
      </w:pPr>
      <w:r>
        <w:rPr>
          <w:rFonts w:hint="eastAsia" w:ascii="Times New Roman" w:hAnsi="Times New Roman" w:eastAsia="仿宋" w:cs="仿宋"/>
          <w:sz w:val="24"/>
          <w:highlight w:val="none"/>
        </w:rPr>
        <w:t>2.响应报价低于通过符合性审查的次低报价供应商响应报价</w:t>
      </w:r>
      <w:r>
        <w:rPr>
          <w:rFonts w:hint="eastAsia" w:ascii="Times New Roman" w:hAnsi="Times New Roman" w:eastAsia="仿宋" w:cs="仿宋"/>
          <w:sz w:val="24"/>
          <w:highlight w:val="none"/>
          <w:lang w:val="en-US" w:eastAsia="zh-CN"/>
        </w:rPr>
        <w:t>50</w:t>
      </w:r>
      <w:r>
        <w:rPr>
          <w:rFonts w:hint="eastAsia" w:ascii="Times New Roman" w:hAnsi="Times New Roman" w:eastAsia="仿宋" w:cs="仿宋"/>
          <w:sz w:val="24"/>
          <w:highlight w:val="none"/>
        </w:rPr>
        <w:t xml:space="preserve"> %的，即响应报价&lt;通过符合性审查的次低报价供应商响应报价×</w:t>
      </w:r>
      <w:r>
        <w:rPr>
          <w:rFonts w:hint="eastAsia" w:ascii="Times New Roman" w:hAnsi="Times New Roman" w:eastAsia="仿宋" w:cs="仿宋"/>
          <w:sz w:val="24"/>
          <w:highlight w:val="none"/>
          <w:lang w:val="en-US" w:eastAsia="zh-CN"/>
        </w:rPr>
        <w:t>50</w:t>
      </w:r>
      <w:r>
        <w:rPr>
          <w:rFonts w:hint="eastAsia" w:ascii="Times New Roman" w:hAnsi="Times New Roman" w:eastAsia="仿宋" w:cs="仿宋"/>
          <w:sz w:val="24"/>
          <w:highlight w:val="none"/>
        </w:rPr>
        <w:t>%；</w:t>
      </w:r>
    </w:p>
    <w:p w14:paraId="36B671C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Times New Roman" w:hAnsi="Times New Roman" w:eastAsia="仿宋" w:cs="仿宋"/>
          <w:sz w:val="24"/>
          <w:highlight w:val="none"/>
        </w:rPr>
      </w:pPr>
      <w:r>
        <w:rPr>
          <w:rFonts w:hint="eastAsia" w:ascii="Times New Roman" w:hAnsi="Times New Roman" w:eastAsia="仿宋" w:cs="仿宋"/>
          <w:sz w:val="24"/>
          <w:highlight w:val="none"/>
        </w:rPr>
        <w:t>3.响应报价低于采购项目（采购包）最高限价</w:t>
      </w:r>
      <w:r>
        <w:rPr>
          <w:rFonts w:hint="eastAsia" w:ascii="Times New Roman" w:hAnsi="Times New Roman" w:eastAsia="仿宋" w:cs="仿宋"/>
          <w:sz w:val="24"/>
          <w:highlight w:val="none"/>
          <w:lang w:val="en-US" w:eastAsia="zh-CN"/>
        </w:rPr>
        <w:t>45</w:t>
      </w:r>
      <w:r>
        <w:rPr>
          <w:rFonts w:hint="eastAsia" w:ascii="Times New Roman" w:hAnsi="Times New Roman" w:eastAsia="仿宋" w:cs="仿宋"/>
          <w:sz w:val="24"/>
          <w:highlight w:val="none"/>
        </w:rPr>
        <w:t xml:space="preserve"> %的，即响应报价&lt;采购项目（采购包）最高限价×</w:t>
      </w:r>
      <w:r>
        <w:rPr>
          <w:rFonts w:hint="eastAsia" w:ascii="Times New Roman" w:hAnsi="Times New Roman" w:eastAsia="仿宋" w:cs="仿宋"/>
          <w:sz w:val="24"/>
          <w:highlight w:val="none"/>
          <w:lang w:val="en-US" w:eastAsia="zh-CN"/>
        </w:rPr>
        <w:t>45</w:t>
      </w:r>
      <w:r>
        <w:rPr>
          <w:rFonts w:hint="eastAsia" w:ascii="Times New Roman" w:hAnsi="Times New Roman" w:eastAsia="仿宋" w:cs="仿宋"/>
          <w:sz w:val="24"/>
          <w:highlight w:val="none"/>
        </w:rPr>
        <w:t>%；</w:t>
      </w:r>
    </w:p>
    <w:p w14:paraId="68C3EFD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Times New Roman" w:hAnsi="Times New Roman" w:eastAsia="仿宋" w:cs="仿宋"/>
          <w:sz w:val="24"/>
          <w:highlight w:val="none"/>
        </w:rPr>
      </w:pPr>
      <w:r>
        <w:rPr>
          <w:rFonts w:hint="eastAsia" w:ascii="Times New Roman" w:hAnsi="Times New Roman" w:eastAsia="仿宋" w:cs="仿宋"/>
          <w:sz w:val="24"/>
          <w:highlight w:val="none"/>
        </w:rPr>
        <w:t>4.</w:t>
      </w:r>
      <w:r>
        <w:rPr>
          <w:rFonts w:hint="eastAsia" w:ascii="Times New Roman" w:hAnsi="Times New Roman" w:eastAsia="仿宋" w:cs="仿宋"/>
          <w:sz w:val="24"/>
          <w:highlight w:val="none"/>
          <w:lang w:val="en-US" w:eastAsia="zh-CN"/>
        </w:rPr>
        <w:t>评审</w:t>
      </w:r>
      <w:r>
        <w:rPr>
          <w:rFonts w:hint="eastAsia" w:ascii="Times New Roman" w:hAnsi="Times New Roman" w:eastAsia="仿宋" w:cs="仿宋"/>
          <w:sz w:val="24"/>
          <w:highlight w:val="none"/>
        </w:rPr>
        <w:t>小组基于专业判断，认为供应商报价过低，有可能影响产品质量或者不能诚信履约的其他情形。</w:t>
      </w:r>
    </w:p>
    <w:p w14:paraId="7CE3ACD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Times New Roman" w:hAnsi="Times New Roman" w:eastAsia="仿宋" w:cs="仿宋"/>
          <w:sz w:val="24"/>
          <w:highlight w:val="none"/>
        </w:rPr>
      </w:pPr>
      <w:r>
        <w:rPr>
          <w:rFonts w:hint="eastAsia" w:ascii="Times New Roman" w:hAnsi="Times New Roman" w:eastAsia="仿宋" w:cs="仿宋"/>
          <w:sz w:val="24"/>
          <w:highlight w:val="none"/>
          <w:lang w:val="en-US" w:eastAsia="zh-CN"/>
        </w:rPr>
        <w:t>评审</w:t>
      </w:r>
      <w:r>
        <w:rPr>
          <w:rFonts w:hint="eastAsia" w:ascii="Times New Roman" w:hAnsi="Times New Roman" w:eastAsia="仿宋" w:cs="仿宋"/>
          <w:sz w:val="24"/>
          <w:highlight w:val="none"/>
        </w:rPr>
        <w:t>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2D4B11C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Times New Roman" w:hAnsi="Times New Roman" w:eastAsia="仿宋" w:cs="仿宋"/>
          <w:sz w:val="24"/>
          <w:highlight w:val="none"/>
        </w:rPr>
      </w:pPr>
      <w:r>
        <w:rPr>
          <w:rFonts w:hint="eastAsia" w:ascii="Times New Roman" w:hAnsi="Times New Roman" w:eastAsia="仿宋" w:cs="仿宋"/>
          <w:sz w:val="24"/>
          <w:highlight w:val="none"/>
          <w:lang w:val="en-US" w:eastAsia="zh-CN"/>
        </w:rPr>
        <w:t>评审</w:t>
      </w:r>
      <w:r>
        <w:rPr>
          <w:rFonts w:hint="eastAsia" w:ascii="Times New Roman" w:hAnsi="Times New Roman" w:eastAsia="仿宋" w:cs="仿宋"/>
          <w:sz w:val="24"/>
          <w:highlight w:val="none"/>
        </w:rPr>
        <w:t>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w:t>
      </w:r>
      <w:r>
        <w:rPr>
          <w:rFonts w:hint="eastAsia" w:ascii="Times New Roman" w:hAnsi="Times New Roman" w:eastAsia="仿宋" w:cs="仿宋"/>
          <w:sz w:val="24"/>
          <w:highlight w:val="none"/>
          <w:lang w:val="en-US" w:eastAsia="zh-CN"/>
        </w:rPr>
        <w:t>评审</w:t>
      </w:r>
      <w:r>
        <w:rPr>
          <w:rFonts w:hint="eastAsia" w:ascii="Times New Roman" w:hAnsi="Times New Roman" w:eastAsia="仿宋" w:cs="仿宋"/>
          <w:sz w:val="24"/>
          <w:highlight w:val="none"/>
        </w:rPr>
        <w:t>小组应当将其作为无效响应处理。</w:t>
      </w:r>
    </w:p>
    <w:p w14:paraId="6337FE06">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default" w:ascii="Times New Roman" w:hAnsi="Times New Roman" w:eastAsia="仿宋" w:cs="仿宋"/>
          <w:b/>
          <w:bCs/>
          <w:sz w:val="24"/>
          <w:highlight w:val="none"/>
          <w:lang w:val="en-US" w:eastAsia="zh-CN"/>
        </w:rPr>
      </w:pPr>
      <w:r>
        <w:rPr>
          <w:rFonts w:hint="eastAsia" w:ascii="Times New Roman" w:hAnsi="Times New Roman" w:eastAsia="仿宋" w:cs="仿宋"/>
          <w:b/>
          <w:bCs/>
          <w:sz w:val="24"/>
          <w:highlight w:val="none"/>
          <w:lang w:val="en-US" w:eastAsia="zh-CN"/>
        </w:rPr>
        <w:t>注：本项目异常低价的审查以</w:t>
      </w:r>
      <w:r>
        <w:rPr>
          <w:rFonts w:hint="eastAsia" w:ascii="Times New Roman" w:hAnsi="Times New Roman" w:eastAsia="仿宋" w:cs="仿宋"/>
          <w:b/>
          <w:bCs/>
          <w:sz w:val="24"/>
          <w:highlight w:val="none"/>
        </w:rPr>
        <w:t>报价合计</w:t>
      </w:r>
      <w:r>
        <w:rPr>
          <w:rFonts w:hint="eastAsia" w:ascii="Times New Roman" w:hAnsi="Times New Roman" w:eastAsia="仿宋" w:cs="仿宋"/>
          <w:b/>
          <w:bCs/>
          <w:sz w:val="24"/>
          <w:highlight w:val="none"/>
          <w:lang w:val="en-US" w:eastAsia="zh-CN"/>
        </w:rPr>
        <w:t>的</w:t>
      </w:r>
      <w:r>
        <w:rPr>
          <w:rFonts w:hint="eastAsia" w:ascii="Times New Roman" w:hAnsi="Times New Roman" w:eastAsia="仿宋" w:cs="仿宋"/>
          <w:b/>
          <w:bCs/>
          <w:sz w:val="24"/>
          <w:highlight w:val="none"/>
        </w:rPr>
        <w:t>预估总额</w:t>
      </w:r>
      <w:r>
        <w:rPr>
          <w:rFonts w:hint="eastAsia" w:ascii="Times New Roman" w:hAnsi="Times New Roman" w:eastAsia="仿宋" w:cs="仿宋"/>
          <w:b/>
          <w:bCs/>
          <w:sz w:val="24"/>
          <w:highlight w:val="none"/>
          <w:lang w:val="en-US" w:eastAsia="zh-CN"/>
        </w:rPr>
        <w:t>为准进行审查。</w:t>
      </w:r>
    </w:p>
    <w:p w14:paraId="06C7A34A">
      <w:pPr>
        <w:jc w:val="center"/>
        <w:rPr>
          <w:rFonts w:ascii="微软雅黑" w:hAnsi="微软雅黑" w:eastAsia="微软雅黑" w:cs="微软雅黑"/>
        </w:rPr>
      </w:pPr>
      <w:r>
        <w:rPr>
          <w:rFonts w:ascii="微软雅黑" w:hAnsi="微软雅黑" w:eastAsia="微软雅黑" w:cs="微软雅黑"/>
        </w:rPr>
        <w:br w:type="page"/>
      </w:r>
    </w:p>
    <w:p w14:paraId="18C80D81">
      <w:pPr>
        <w:pStyle w:val="13"/>
        <w:spacing w:beforeAutospacing="0" w:afterAutospacing="0" w:line="480" w:lineRule="exact"/>
        <w:jc w:val="both"/>
        <w:rPr>
          <w:rFonts w:ascii="宋体" w:hAnsi="宋体" w:eastAsia="宋体" w:cs="宋体"/>
          <w:color w:val="000000"/>
          <w:sz w:val="21"/>
          <w:szCs w:val="21"/>
          <w:lang w:bidi="ar"/>
        </w:rPr>
      </w:pPr>
      <w:bookmarkStart w:id="0" w:name="_GoBack"/>
      <w:bookmarkEnd w:id="0"/>
    </w:p>
    <w:sectPr>
      <w:footerReference r:id="rId3" w:type="default"/>
      <w:pgSz w:w="11906" w:h="16838"/>
      <w:pgMar w:top="1440" w:right="1803" w:bottom="1440" w:left="1803"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E44F6">
    <w:pPr>
      <w:pStyle w:val="11"/>
      <w:framePr w:wrap="around" w:vAnchor="text" w:hAnchor="margin" w:xAlign="center" w:y="1"/>
      <w:rPr>
        <w:rStyle w:val="18"/>
      </w:rPr>
    </w:pPr>
    <w:r>
      <w:rPr>
        <w:rStyle w:val="18"/>
      </w:rPr>
      <w:fldChar w:fldCharType="begin"/>
    </w:r>
    <w:r>
      <w:rPr>
        <w:rStyle w:val="18"/>
      </w:rPr>
      <w:instrText xml:space="preserve"> PAGE </w:instrText>
    </w:r>
    <w:r>
      <w:rPr>
        <w:rStyle w:val="18"/>
      </w:rPr>
      <w:fldChar w:fldCharType="separate"/>
    </w:r>
    <w:r>
      <w:rPr>
        <w:rStyle w:val="18"/>
      </w:rPr>
      <w:t>1</w:t>
    </w:r>
    <w:r>
      <w:rPr>
        <w:rStyle w:val="18"/>
      </w:rPr>
      <w:fldChar w:fldCharType="end"/>
    </w:r>
  </w:p>
  <w:p w14:paraId="2A39ECE4">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98"/>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B4D"/>
    <w:rsid w:val="000012C6"/>
    <w:rsid w:val="000F751D"/>
    <w:rsid w:val="001873D0"/>
    <w:rsid w:val="001C0C4E"/>
    <w:rsid w:val="002E0303"/>
    <w:rsid w:val="0049175A"/>
    <w:rsid w:val="004F1A08"/>
    <w:rsid w:val="00510441"/>
    <w:rsid w:val="00512A3B"/>
    <w:rsid w:val="0065371E"/>
    <w:rsid w:val="00812B07"/>
    <w:rsid w:val="008268C7"/>
    <w:rsid w:val="008D5297"/>
    <w:rsid w:val="0097646F"/>
    <w:rsid w:val="00997C27"/>
    <w:rsid w:val="009B03BF"/>
    <w:rsid w:val="00A462C0"/>
    <w:rsid w:val="00A624B3"/>
    <w:rsid w:val="00BA1E95"/>
    <w:rsid w:val="00BA5A85"/>
    <w:rsid w:val="00C7319B"/>
    <w:rsid w:val="00C822CE"/>
    <w:rsid w:val="00C94F67"/>
    <w:rsid w:val="00DB658F"/>
    <w:rsid w:val="00E278E4"/>
    <w:rsid w:val="00E44C73"/>
    <w:rsid w:val="00E47B4D"/>
    <w:rsid w:val="00E629B9"/>
    <w:rsid w:val="01C44752"/>
    <w:rsid w:val="0BE22749"/>
    <w:rsid w:val="0D89008E"/>
    <w:rsid w:val="1783114E"/>
    <w:rsid w:val="17AE5067"/>
    <w:rsid w:val="188A6D6B"/>
    <w:rsid w:val="1C4E713A"/>
    <w:rsid w:val="1FDDE9C5"/>
    <w:rsid w:val="21A30E08"/>
    <w:rsid w:val="2230171F"/>
    <w:rsid w:val="24E22B5A"/>
    <w:rsid w:val="25A7A31E"/>
    <w:rsid w:val="25BD664C"/>
    <w:rsid w:val="27B96F45"/>
    <w:rsid w:val="2C021399"/>
    <w:rsid w:val="2C53497D"/>
    <w:rsid w:val="2D0E3485"/>
    <w:rsid w:val="2D6FFCFB"/>
    <w:rsid w:val="342027B1"/>
    <w:rsid w:val="3FDF98F8"/>
    <w:rsid w:val="40925E59"/>
    <w:rsid w:val="477D1678"/>
    <w:rsid w:val="4D2439A4"/>
    <w:rsid w:val="501E51D4"/>
    <w:rsid w:val="508E7453"/>
    <w:rsid w:val="537F3C33"/>
    <w:rsid w:val="543A0058"/>
    <w:rsid w:val="5B34761A"/>
    <w:rsid w:val="5BA5D9C8"/>
    <w:rsid w:val="5D737DD6"/>
    <w:rsid w:val="5DC810CB"/>
    <w:rsid w:val="5FD3AF06"/>
    <w:rsid w:val="5FDBD7EC"/>
    <w:rsid w:val="5FEF4644"/>
    <w:rsid w:val="5FF3910C"/>
    <w:rsid w:val="66524168"/>
    <w:rsid w:val="677F8B96"/>
    <w:rsid w:val="67D4F156"/>
    <w:rsid w:val="67DF9A51"/>
    <w:rsid w:val="6BF2B848"/>
    <w:rsid w:val="6DFF0458"/>
    <w:rsid w:val="6F3A9BC3"/>
    <w:rsid w:val="6FD70A5E"/>
    <w:rsid w:val="6FE57E10"/>
    <w:rsid w:val="73ED4058"/>
    <w:rsid w:val="73FAFE33"/>
    <w:rsid w:val="73FFC941"/>
    <w:rsid w:val="757B67C4"/>
    <w:rsid w:val="76172452"/>
    <w:rsid w:val="76B3C779"/>
    <w:rsid w:val="76ED6EE8"/>
    <w:rsid w:val="77B66F9C"/>
    <w:rsid w:val="77BF0C60"/>
    <w:rsid w:val="77DFC60E"/>
    <w:rsid w:val="77F97A76"/>
    <w:rsid w:val="7A82688F"/>
    <w:rsid w:val="7B201D3C"/>
    <w:rsid w:val="7B943DCF"/>
    <w:rsid w:val="7BDF4C70"/>
    <w:rsid w:val="7EBC9DE8"/>
    <w:rsid w:val="7EC673D5"/>
    <w:rsid w:val="7F3FA943"/>
    <w:rsid w:val="7F7518A7"/>
    <w:rsid w:val="7FBF9714"/>
    <w:rsid w:val="7FE7C58A"/>
    <w:rsid w:val="7FFDAC2A"/>
    <w:rsid w:val="97DE7BE2"/>
    <w:rsid w:val="9BFCAB99"/>
    <w:rsid w:val="9DF754E2"/>
    <w:rsid w:val="9EFF6B68"/>
    <w:rsid w:val="AE1FE4FB"/>
    <w:rsid w:val="AFF726A5"/>
    <w:rsid w:val="B4EDCC2B"/>
    <w:rsid w:val="B775F3E4"/>
    <w:rsid w:val="B79F3657"/>
    <w:rsid w:val="B7DF20AF"/>
    <w:rsid w:val="B7F7E5DA"/>
    <w:rsid w:val="BB3F7818"/>
    <w:rsid w:val="BBF54F42"/>
    <w:rsid w:val="BDBD4E2B"/>
    <w:rsid w:val="BDD793F3"/>
    <w:rsid w:val="BE9F1070"/>
    <w:rsid w:val="BF1F2FC6"/>
    <w:rsid w:val="BFDBBB7F"/>
    <w:rsid w:val="BFFBD03E"/>
    <w:rsid w:val="C56DC2A5"/>
    <w:rsid w:val="CAB95278"/>
    <w:rsid w:val="CBFBA69B"/>
    <w:rsid w:val="D33BE22E"/>
    <w:rsid w:val="DABD4600"/>
    <w:rsid w:val="DB4FC267"/>
    <w:rsid w:val="DBFF6F9C"/>
    <w:rsid w:val="DBFF82B9"/>
    <w:rsid w:val="DBFFD98E"/>
    <w:rsid w:val="DCEF6C82"/>
    <w:rsid w:val="DDE7FE7B"/>
    <w:rsid w:val="DDFFC343"/>
    <w:rsid w:val="DE3C112A"/>
    <w:rsid w:val="E17F37A1"/>
    <w:rsid w:val="E58F090E"/>
    <w:rsid w:val="E6FFA33F"/>
    <w:rsid w:val="E7F73A4D"/>
    <w:rsid w:val="EA7F89E4"/>
    <w:rsid w:val="EAD7AC46"/>
    <w:rsid w:val="EAF9E5D1"/>
    <w:rsid w:val="EB7FE5FF"/>
    <w:rsid w:val="EBBC985B"/>
    <w:rsid w:val="EBF70AB1"/>
    <w:rsid w:val="EFF05F62"/>
    <w:rsid w:val="F6CD9BFD"/>
    <w:rsid w:val="F6FFD7D4"/>
    <w:rsid w:val="F79FBB8C"/>
    <w:rsid w:val="F7DE1ACC"/>
    <w:rsid w:val="FAFF7789"/>
    <w:rsid w:val="FBCFFE77"/>
    <w:rsid w:val="FBFBFD5C"/>
    <w:rsid w:val="FCBD4EA4"/>
    <w:rsid w:val="FCC5A84F"/>
    <w:rsid w:val="FCCB52B5"/>
    <w:rsid w:val="FCE3642A"/>
    <w:rsid w:val="FDEFD6BC"/>
    <w:rsid w:val="FDF324A5"/>
    <w:rsid w:val="FDF9430B"/>
    <w:rsid w:val="FDFFA62A"/>
    <w:rsid w:val="FE4A9569"/>
    <w:rsid w:val="FE6B0282"/>
    <w:rsid w:val="FE78CF95"/>
    <w:rsid w:val="FE9BE454"/>
    <w:rsid w:val="FE9FF089"/>
    <w:rsid w:val="FEBFBBA9"/>
    <w:rsid w:val="FEF3EA8A"/>
    <w:rsid w:val="FEF5E962"/>
    <w:rsid w:val="FFBF0CE2"/>
    <w:rsid w:val="FFC751B5"/>
    <w:rsid w:val="FFCF321B"/>
    <w:rsid w:val="FFD7AF54"/>
    <w:rsid w:val="FFDE1824"/>
    <w:rsid w:val="FFFE2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8"/>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tabs>
        <w:tab w:val="left" w:pos="0"/>
      </w:tabs>
      <w:spacing w:before="50" w:beforeLines="50"/>
      <w:outlineLvl w:val="1"/>
    </w:pPr>
    <w:rPr>
      <w:rFonts w:ascii="宋体" w:hAnsi="宋体" w:eastAsia="宋体" w:cs="宋体"/>
      <w:b/>
      <w:bCs/>
      <w:sz w:val="30"/>
      <w:szCs w:val="30"/>
      <w:lang w:val="zh-CN" w:bidi="zh-CN"/>
    </w:rPr>
  </w:style>
  <w:style w:type="paragraph" w:styleId="4">
    <w:name w:val="heading 3"/>
    <w:basedOn w:val="1"/>
    <w:next w:val="1"/>
    <w:link w:val="22"/>
    <w:semiHidden/>
    <w:unhideWhenUsed/>
    <w:qFormat/>
    <w:uiPriority w:val="0"/>
    <w:pPr>
      <w:tabs>
        <w:tab w:val="left" w:pos="0"/>
      </w:tabs>
      <w:outlineLvl w:val="2"/>
    </w:pPr>
    <w:rPr>
      <w:rFonts w:ascii="宋体" w:hAnsi="宋体" w:eastAsia="宋体" w:cs="宋体"/>
      <w:b/>
      <w:bCs/>
      <w:szCs w:val="28"/>
      <w:lang w:val="zh-CN" w:bidi="zh-CN"/>
    </w:rPr>
  </w:style>
  <w:style w:type="paragraph" w:styleId="5">
    <w:name w:val="heading 5"/>
    <w:basedOn w:val="1"/>
    <w:link w:val="23"/>
    <w:semiHidden/>
    <w:unhideWhenUsed/>
    <w:qFormat/>
    <w:uiPriority w:val="0"/>
    <w:pPr>
      <w:keepNext/>
      <w:keepLines/>
      <w:widowControl/>
      <w:spacing w:before="120" w:after="120" w:line="360" w:lineRule="auto"/>
      <w:ind w:firstLine="499"/>
      <w:jc w:val="left"/>
      <w:outlineLvl w:val="4"/>
    </w:pPr>
    <w:rPr>
      <w:rFonts w:ascii="宋体" w:hAnsi="宋体" w:eastAsia="宋体" w:cs="Times New Roman"/>
      <w:b/>
      <w:kern w:val="0"/>
      <w:sz w:val="24"/>
      <w:szCs w:val="2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annotation text"/>
    <w:basedOn w:val="1"/>
    <w:link w:val="27"/>
    <w:qFormat/>
    <w:uiPriority w:val="0"/>
    <w:pPr>
      <w:jc w:val="left"/>
    </w:pPr>
  </w:style>
  <w:style w:type="paragraph" w:styleId="8">
    <w:name w:val="Body Text"/>
    <w:basedOn w:val="1"/>
    <w:next w:val="1"/>
    <w:qFormat/>
    <w:uiPriority w:val="99"/>
    <w:rPr>
      <w:rFonts w:eastAsia="仿宋" w:cs="Calibri"/>
      <w:szCs w:val="32"/>
    </w:rPr>
  </w:style>
  <w:style w:type="paragraph" w:styleId="9">
    <w:name w:val="Body Text Indent 2"/>
    <w:basedOn w:val="1"/>
    <w:qFormat/>
    <w:uiPriority w:val="0"/>
    <w:pPr>
      <w:spacing w:after="120" w:line="480" w:lineRule="auto"/>
      <w:ind w:left="420" w:leftChars="200"/>
    </w:pPr>
  </w:style>
  <w:style w:type="paragraph" w:styleId="10">
    <w:name w:val="Balloon Text"/>
    <w:basedOn w:val="1"/>
    <w:link w:val="29"/>
    <w:qFormat/>
    <w:uiPriority w:val="0"/>
    <w:rPr>
      <w:sz w:val="18"/>
      <w:szCs w:val="18"/>
    </w:rPr>
  </w:style>
  <w:style w:type="paragraph" w:styleId="11">
    <w:name w:val="footer"/>
    <w:basedOn w:val="1"/>
    <w:link w:val="26"/>
    <w:qFormat/>
    <w:uiPriority w:val="0"/>
    <w:pPr>
      <w:tabs>
        <w:tab w:val="center" w:pos="4153"/>
        <w:tab w:val="right" w:pos="8306"/>
      </w:tabs>
      <w:snapToGrid w:val="0"/>
      <w:jc w:val="left"/>
    </w:pPr>
    <w:rPr>
      <w:sz w:val="18"/>
      <w:szCs w:val="18"/>
    </w:rPr>
  </w:style>
  <w:style w:type="paragraph" w:styleId="12">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annotation subject"/>
    <w:basedOn w:val="7"/>
    <w:next w:val="7"/>
    <w:link w:val="28"/>
    <w:qFormat/>
    <w:uiPriority w:val="0"/>
    <w:rPr>
      <w:b/>
      <w:b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unhideWhenUsed/>
    <w:qFormat/>
    <w:uiPriority w:val="99"/>
  </w:style>
  <w:style w:type="character" w:styleId="19">
    <w:name w:val="FollowedHyperlink"/>
    <w:basedOn w:val="17"/>
    <w:qFormat/>
    <w:uiPriority w:val="0"/>
    <w:rPr>
      <w:color w:val="800080"/>
      <w:u w:val="single"/>
    </w:rPr>
  </w:style>
  <w:style w:type="character" w:styleId="20">
    <w:name w:val="Hyperlink"/>
    <w:basedOn w:val="17"/>
    <w:qFormat/>
    <w:uiPriority w:val="0"/>
    <w:rPr>
      <w:color w:val="0000FF"/>
      <w:u w:val="single"/>
    </w:rPr>
  </w:style>
  <w:style w:type="character" w:styleId="21">
    <w:name w:val="annotation reference"/>
    <w:basedOn w:val="17"/>
    <w:qFormat/>
    <w:uiPriority w:val="0"/>
    <w:rPr>
      <w:sz w:val="21"/>
      <w:szCs w:val="21"/>
    </w:rPr>
  </w:style>
  <w:style w:type="character" w:customStyle="1" w:styleId="22">
    <w:name w:val="标题 3 字符"/>
    <w:link w:val="4"/>
    <w:qFormat/>
    <w:uiPriority w:val="1"/>
    <w:rPr>
      <w:rFonts w:ascii="宋体" w:hAnsi="宋体" w:eastAsia="宋体" w:cs="宋体"/>
      <w:b/>
      <w:bCs/>
      <w:sz w:val="28"/>
      <w:szCs w:val="28"/>
      <w:lang w:val="zh-CN" w:eastAsia="zh-CN" w:bidi="zh-CN"/>
    </w:rPr>
  </w:style>
  <w:style w:type="character" w:customStyle="1" w:styleId="23">
    <w:name w:val="标题 5 字符"/>
    <w:link w:val="5"/>
    <w:qFormat/>
    <w:uiPriority w:val="0"/>
    <w:rPr>
      <w:rFonts w:ascii="宋体" w:hAnsi="宋体" w:eastAsia="宋体" w:cs="Times New Roman"/>
      <w:b/>
      <w:sz w:val="24"/>
    </w:rPr>
  </w:style>
  <w:style w:type="paragraph" w:customStyle="1" w:styleId="24">
    <w:name w:val="null3"/>
    <w:qFormat/>
    <w:uiPriority w:val="0"/>
    <w:rPr>
      <w:rFonts w:hint="eastAsia" w:ascii="Calibri" w:hAnsi="Calibri" w:eastAsia="宋体" w:cs="Times New Roman"/>
      <w:lang w:val="en-US" w:eastAsia="zh-Hans" w:bidi="ar-SA"/>
    </w:rPr>
  </w:style>
  <w:style w:type="character" w:customStyle="1" w:styleId="25">
    <w:name w:val="页眉 字符"/>
    <w:basedOn w:val="17"/>
    <w:link w:val="12"/>
    <w:qFormat/>
    <w:uiPriority w:val="0"/>
    <w:rPr>
      <w:rFonts w:asciiTheme="minorHAnsi" w:hAnsiTheme="minorHAnsi" w:eastAsiaTheme="minorEastAsia" w:cstheme="minorBidi"/>
      <w:kern w:val="2"/>
      <w:sz w:val="18"/>
      <w:szCs w:val="18"/>
    </w:rPr>
  </w:style>
  <w:style w:type="character" w:customStyle="1" w:styleId="26">
    <w:name w:val="页脚 字符"/>
    <w:basedOn w:val="17"/>
    <w:link w:val="11"/>
    <w:qFormat/>
    <w:uiPriority w:val="0"/>
    <w:rPr>
      <w:rFonts w:asciiTheme="minorHAnsi" w:hAnsiTheme="minorHAnsi" w:eastAsiaTheme="minorEastAsia" w:cstheme="minorBidi"/>
      <w:kern w:val="2"/>
      <w:sz w:val="18"/>
      <w:szCs w:val="18"/>
    </w:rPr>
  </w:style>
  <w:style w:type="character" w:customStyle="1" w:styleId="27">
    <w:name w:val="批注文字 字符"/>
    <w:basedOn w:val="17"/>
    <w:link w:val="7"/>
    <w:qFormat/>
    <w:uiPriority w:val="0"/>
    <w:rPr>
      <w:rFonts w:asciiTheme="minorHAnsi" w:hAnsiTheme="minorHAnsi" w:eastAsiaTheme="minorEastAsia" w:cstheme="minorBidi"/>
      <w:kern w:val="2"/>
      <w:sz w:val="28"/>
      <w:szCs w:val="24"/>
    </w:rPr>
  </w:style>
  <w:style w:type="character" w:customStyle="1" w:styleId="28">
    <w:name w:val="批注主题 字符"/>
    <w:basedOn w:val="27"/>
    <w:link w:val="14"/>
    <w:qFormat/>
    <w:uiPriority w:val="0"/>
    <w:rPr>
      <w:rFonts w:asciiTheme="minorHAnsi" w:hAnsiTheme="minorHAnsi" w:eastAsiaTheme="minorEastAsia" w:cstheme="minorBidi"/>
      <w:b/>
      <w:bCs/>
      <w:kern w:val="2"/>
      <w:sz w:val="28"/>
      <w:szCs w:val="24"/>
    </w:rPr>
  </w:style>
  <w:style w:type="character" w:customStyle="1" w:styleId="29">
    <w:name w:val="批注框文本 字符"/>
    <w:basedOn w:val="17"/>
    <w:link w:val="10"/>
    <w:qFormat/>
    <w:uiPriority w:val="0"/>
    <w:rPr>
      <w:rFonts w:asciiTheme="minorHAnsi" w:hAnsiTheme="minorHAnsi" w:eastAsiaTheme="minorEastAsia" w:cstheme="minorBidi"/>
      <w:kern w:val="2"/>
      <w:sz w:val="18"/>
      <w:szCs w:val="18"/>
    </w:rPr>
  </w:style>
  <w:style w:type="character" w:customStyle="1" w:styleId="30">
    <w:name w:val="font51"/>
    <w:basedOn w:val="17"/>
    <w:qFormat/>
    <w:uiPriority w:val="0"/>
    <w:rPr>
      <w:rFonts w:hint="eastAsia" w:ascii="宋体" w:hAnsi="宋体" w:eastAsia="宋体" w:cs="宋体"/>
      <w:color w:val="000000"/>
      <w:sz w:val="21"/>
      <w:szCs w:val="21"/>
      <w:u w:val="none"/>
    </w:rPr>
  </w:style>
  <w:style w:type="character" w:customStyle="1" w:styleId="31">
    <w:name w:val="font21"/>
    <w:basedOn w:val="1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83ec7375-f010-43ed-b165-1e5100f6dc5a</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该表达中的“涉及到”存在语义重复。【词汇解析】涉及：牵涉到，关联到。包含了“到”的意思。</explain>
      <paraID xmlns="http://schemas.wps.cn/vas-ai-hub/contract-review">7B64EAF8</paraID>
      <start xmlns="http://schemas.wps.cn/vas-ai-hub/contract-review">55</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4539a1f1-9f68-46de-9165-a6ab34514f9b</errorID>
      <errorWord xmlns="http://schemas.wps.cn/vas-ai-hub/contract-review">针对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
      <paraID xmlns="http://schemas.wps.cn/vas-ai-hub/contract-review"> 5369AC1</paraID>
      <start xmlns="http://schemas.wps.cn/vas-ai-hub/contract-review">11</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ed98b05e-29e1-4aa1-ab74-eb04995613bc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17D4BAB</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9997793d-88e6-4d28-a8a9-fc612145e26e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17D4BAB</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cac4cfc6-86c4-460a-b981-92c78d2c01cd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4E6381C0</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e28a2faa-7a64-425c-a8cb-098fe867da63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4E6381C0</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859D1ED-AF71-4F17-A368-481ED11750CA}">
  <ds:schemaRefs/>
</ds:datastoreItem>
</file>

<file path=docProps/app.xml><?xml version="1.0" encoding="utf-8"?>
<Properties xmlns="http://schemas.openxmlformats.org/officeDocument/2006/extended-properties" xmlns:vt="http://schemas.openxmlformats.org/officeDocument/2006/docPropsVTypes">
  <Template>Normal</Template>
  <Pages>5</Pages>
  <Words>442</Words>
  <Characters>452</Characters>
  <Lines>33</Lines>
  <Paragraphs>26</Paragraphs>
  <TotalTime>6</TotalTime>
  <ScaleCrop>false</ScaleCrop>
  <LinksUpToDate>false</LinksUpToDate>
  <CharactersWithSpaces>452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2025-03-02T04:21:00Z</dcterms:created>
  <dc:creator>87275</dc:creator>
  <cp:lastModifiedBy>胡建伟</cp:lastModifiedBy>
  <cp:lastPrinted>2026-09-29T11:07:00Z</cp:lastPrinted>
  <dcterms:modified xsi:type="dcterms:W3CDTF">2026-10-08T03:09:26Z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0DA5919B2C6A45AFA67CD7CD61D42997_13</vt:lpwstr>
  </property>
  <property fmtid="{D5CDD505-2E9C-101B-9397-08002B2CF9AE}" pid="4" name="KSOTemplateDocerSaveRecord">
    <vt:lpwstr>eyJoZGlkIjoiYWU4ODcyZTJlZWFiNjFhYmQzMTcxZWUwODQ0OGI0YmEiLCJ1c2VySWQiOiI1NDIyMzAwMzAifQ==</vt:lpwstr>
  </property>
</Properties>
</file>